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F0" w:rsidRPr="005539B2" w:rsidRDefault="00C3658D" w:rsidP="00C3658D">
      <w:pPr>
        <w:jc w:val="center"/>
        <w:rPr>
          <w:b/>
          <w:sz w:val="24"/>
          <w:szCs w:val="24"/>
        </w:rPr>
      </w:pPr>
      <w:r w:rsidRPr="005539B2">
        <w:rPr>
          <w:b/>
          <w:sz w:val="24"/>
          <w:szCs w:val="24"/>
        </w:rPr>
        <w:t>Digital Banking</w:t>
      </w:r>
    </w:p>
    <w:p w:rsidR="005539B2" w:rsidRDefault="005539B2" w:rsidP="00C3658D">
      <w:pPr>
        <w:jc w:val="center"/>
        <w:rPr>
          <w:b/>
        </w:rPr>
      </w:pPr>
    </w:p>
    <w:tbl>
      <w:tblPr>
        <w:tblStyle w:val="TableGrid"/>
        <w:tblW w:w="0" w:type="auto"/>
        <w:tblLook w:val="04A0" w:firstRow="1" w:lastRow="0" w:firstColumn="1" w:lastColumn="0" w:noHBand="0" w:noVBand="1"/>
      </w:tblPr>
      <w:tblGrid>
        <w:gridCol w:w="728"/>
        <w:gridCol w:w="8288"/>
      </w:tblGrid>
      <w:tr w:rsidR="00C3658D" w:rsidTr="00C3658D">
        <w:tc>
          <w:tcPr>
            <w:tcW w:w="704" w:type="dxa"/>
          </w:tcPr>
          <w:p w:rsidR="00C3658D" w:rsidRDefault="00C3658D" w:rsidP="00C3658D">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312" w:type="dxa"/>
          </w:tcPr>
          <w:p w:rsidR="00C3658D" w:rsidRDefault="00C3658D" w:rsidP="00C3658D">
            <w:pPr>
              <w:jc w:val="center"/>
              <w:rPr>
                <w:rFonts w:ascii="Arial" w:hAnsi="Arial" w:cs="Arial"/>
                <w:b/>
                <w:bCs/>
                <w:color w:val="000000"/>
                <w:sz w:val="20"/>
                <w:szCs w:val="20"/>
              </w:rPr>
            </w:pPr>
            <w:r>
              <w:rPr>
                <w:rFonts w:ascii="Arial" w:hAnsi="Arial" w:cs="Arial"/>
                <w:b/>
                <w:bCs/>
                <w:color w:val="000000"/>
                <w:sz w:val="20"/>
                <w:szCs w:val="20"/>
              </w:rPr>
              <w:t>RBI Notifications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Restriction on Storage of Actual Card Data [i.e. Card-on-File (</w:t>
            </w:r>
            <w:proofErr w:type="spellStart"/>
            <w:r w:rsidRPr="00C3658D">
              <w:rPr>
                <w:rFonts w:ascii="Arial" w:hAnsi="Arial" w:cs="Arial"/>
                <w:bCs/>
                <w:color w:val="000000"/>
                <w:sz w:val="20"/>
                <w:szCs w:val="20"/>
              </w:rPr>
              <w:t>CoF</w:t>
            </w:r>
            <w:proofErr w:type="spellEnd"/>
            <w:r w:rsidRPr="00C3658D">
              <w:rPr>
                <w:rFonts w:ascii="Arial" w:hAnsi="Arial" w:cs="Arial"/>
                <w:bCs/>
                <w:color w:val="000000"/>
                <w:sz w:val="20"/>
                <w:szCs w:val="20"/>
              </w:rPr>
              <w:t>)]</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Processing of e-mandates for recurring transactions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Bharat Bill Payment System – Amendment to guidelines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Interoperable Card-less Cash Withdrawal (ICCW) at ATMs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Legal Entity Identifier (LEI) for Borrowers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Establishment of Digital Banking Units (DBUs)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Cassette - Swaps in ATMs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C3658D" w:rsidP="00C3658D">
            <w:pPr>
              <w:rPr>
                <w:rFonts w:ascii="Arial" w:hAnsi="Arial" w:cs="Arial"/>
                <w:bCs/>
                <w:color w:val="000000"/>
                <w:sz w:val="20"/>
                <w:szCs w:val="20"/>
              </w:rPr>
            </w:pPr>
            <w:r w:rsidRPr="00C3658D">
              <w:rPr>
                <w:rFonts w:ascii="Arial" w:hAnsi="Arial" w:cs="Arial"/>
                <w:bCs/>
                <w:color w:val="000000"/>
                <w:sz w:val="20"/>
                <w:szCs w:val="20"/>
              </w:rPr>
              <w:t>Framework for Geo-tagging of Payment System Touch Points</w:t>
            </w:r>
          </w:p>
        </w:tc>
      </w:tr>
      <w:tr w:rsidR="00C3658D" w:rsidTr="00C3658D">
        <w:tc>
          <w:tcPr>
            <w:tcW w:w="704" w:type="dxa"/>
          </w:tcPr>
          <w:p w:rsidR="00C3658D" w:rsidRPr="00C3658D" w:rsidRDefault="00C3658D" w:rsidP="00C3658D">
            <w:pPr>
              <w:pStyle w:val="ListParagraph"/>
              <w:numPr>
                <w:ilvl w:val="0"/>
                <w:numId w:val="1"/>
              </w:numPr>
              <w:rPr>
                <w:rFonts w:ascii="Arial" w:hAnsi="Arial" w:cs="Arial"/>
                <w:bCs/>
                <w:color w:val="000000"/>
                <w:sz w:val="20"/>
                <w:szCs w:val="20"/>
              </w:rPr>
            </w:pPr>
          </w:p>
        </w:tc>
        <w:tc>
          <w:tcPr>
            <w:tcW w:w="8312" w:type="dxa"/>
          </w:tcPr>
          <w:p w:rsidR="00C3658D" w:rsidRPr="00C3658D" w:rsidRDefault="005539B2" w:rsidP="00C3658D">
            <w:pPr>
              <w:rPr>
                <w:rFonts w:ascii="Arial" w:hAnsi="Arial" w:cs="Arial"/>
                <w:bCs/>
                <w:color w:val="000000"/>
                <w:sz w:val="20"/>
                <w:szCs w:val="20"/>
              </w:rPr>
            </w:pPr>
            <w:r w:rsidRPr="005539B2">
              <w:rPr>
                <w:rFonts w:ascii="Arial" w:hAnsi="Arial" w:cs="Arial"/>
                <w:bCs/>
                <w:color w:val="000000"/>
                <w:sz w:val="20"/>
                <w:szCs w:val="20"/>
              </w:rPr>
              <w:t>Framework for Facilitating Small Value Digital Payments in Offline Mode</w:t>
            </w:r>
          </w:p>
        </w:tc>
      </w:tr>
    </w:tbl>
    <w:p w:rsidR="00C3658D" w:rsidRDefault="00C3658D" w:rsidP="00C3658D">
      <w:pPr>
        <w:rPr>
          <w:rFonts w:ascii="Arial" w:hAnsi="Arial" w:cs="Arial"/>
          <w:b/>
          <w:bCs/>
          <w:color w:val="000000"/>
          <w:sz w:val="20"/>
          <w:szCs w:val="20"/>
        </w:rPr>
      </w:pPr>
    </w:p>
    <w:p w:rsidR="005539B2" w:rsidRDefault="005539B2" w:rsidP="00C3658D">
      <w:pPr>
        <w:rPr>
          <w:rFonts w:ascii="Arial" w:hAnsi="Arial" w:cs="Arial"/>
          <w:b/>
          <w:bCs/>
          <w:color w:val="000000"/>
          <w:sz w:val="20"/>
          <w:szCs w:val="20"/>
        </w:rPr>
      </w:pPr>
    </w:p>
    <w:p w:rsidR="00C3658D" w:rsidRPr="00470480" w:rsidRDefault="00C3658D" w:rsidP="00C3658D">
      <w:pPr>
        <w:rPr>
          <w:rFonts w:ascii="Arial" w:hAnsi="Arial" w:cs="Arial"/>
          <w:b/>
          <w:bCs/>
          <w:color w:val="000000"/>
          <w:sz w:val="20"/>
          <w:szCs w:val="20"/>
        </w:rPr>
      </w:pPr>
      <w:r w:rsidRPr="00470480">
        <w:rPr>
          <w:rFonts w:ascii="Arial" w:hAnsi="Arial" w:cs="Arial"/>
          <w:b/>
          <w:bCs/>
          <w:color w:val="000000"/>
          <w:sz w:val="20"/>
          <w:szCs w:val="20"/>
        </w:rPr>
        <w:t>Restriction on Storage of Actual Card Data [i.e. Card-</w:t>
      </w:r>
      <w:proofErr w:type="gramStart"/>
      <w:r w:rsidRPr="00470480">
        <w:rPr>
          <w:rFonts w:ascii="Arial" w:hAnsi="Arial" w:cs="Arial"/>
          <w:b/>
          <w:bCs/>
          <w:color w:val="000000"/>
          <w:sz w:val="20"/>
          <w:szCs w:val="20"/>
        </w:rPr>
        <w:t>on</w:t>
      </w:r>
      <w:proofErr w:type="gramEnd"/>
      <w:r w:rsidRPr="00470480">
        <w:rPr>
          <w:rFonts w:ascii="Arial" w:hAnsi="Arial" w:cs="Arial"/>
          <w:b/>
          <w:bCs/>
          <w:color w:val="000000"/>
          <w:sz w:val="20"/>
          <w:szCs w:val="20"/>
        </w:rPr>
        <w:t>-File (</w:t>
      </w:r>
      <w:proofErr w:type="spellStart"/>
      <w:r w:rsidRPr="00470480">
        <w:rPr>
          <w:rFonts w:ascii="Arial" w:hAnsi="Arial" w:cs="Arial"/>
          <w:b/>
          <w:bCs/>
          <w:color w:val="000000"/>
          <w:sz w:val="20"/>
          <w:szCs w:val="20"/>
        </w:rPr>
        <w:t>CoF</w:t>
      </w:r>
      <w:proofErr w:type="spellEnd"/>
      <w:r w:rsidRPr="00470480">
        <w:rPr>
          <w:rFonts w:ascii="Arial" w:hAnsi="Arial" w:cs="Arial"/>
          <w:b/>
          <w:bCs/>
          <w:color w:val="000000"/>
          <w:sz w:val="20"/>
          <w:szCs w:val="20"/>
        </w:rPr>
        <w:t>)]</w:t>
      </w:r>
    </w:p>
    <w:p w:rsidR="00C3658D" w:rsidRPr="00470480" w:rsidRDefault="00C3658D" w:rsidP="00C3658D">
      <w:pPr>
        <w:rPr>
          <w:rFonts w:ascii="Arial" w:hAnsi="Arial" w:cs="Arial"/>
          <w:sz w:val="20"/>
          <w:szCs w:val="20"/>
        </w:rPr>
      </w:pPr>
      <w:r w:rsidRPr="00470480">
        <w:rPr>
          <w:rFonts w:ascii="Arial" w:hAnsi="Arial" w:cs="Arial"/>
          <w:sz w:val="20"/>
          <w:szCs w:val="20"/>
        </w:rPr>
        <w:t>RBI/2022-23/77</w:t>
      </w:r>
      <w:r w:rsidRPr="00470480">
        <w:rPr>
          <w:rFonts w:ascii="Arial" w:hAnsi="Arial" w:cs="Arial"/>
          <w:sz w:val="20"/>
          <w:szCs w:val="20"/>
        </w:rPr>
        <w:br/>
        <w:t>CO.DPSS.POLC.No.S-567/02-14-003/2022-23</w:t>
      </w:r>
    </w:p>
    <w:p w:rsidR="00C3658D" w:rsidRPr="00470480" w:rsidRDefault="00C3658D" w:rsidP="00C3658D">
      <w:pPr>
        <w:rPr>
          <w:rFonts w:ascii="Arial" w:hAnsi="Arial" w:cs="Arial"/>
          <w:sz w:val="20"/>
          <w:szCs w:val="20"/>
        </w:rPr>
      </w:pPr>
      <w:r w:rsidRPr="00470480">
        <w:rPr>
          <w:rFonts w:ascii="Arial" w:hAnsi="Arial" w:cs="Arial"/>
          <w:sz w:val="20"/>
          <w:szCs w:val="20"/>
        </w:rPr>
        <w:t>June 24, 2022</w:t>
      </w:r>
      <w:bookmarkStart w:id="0" w:name="_GoBack"/>
      <w:bookmarkEnd w:id="0"/>
    </w:p>
    <w:p w:rsidR="00C3658D" w:rsidRPr="00470480" w:rsidRDefault="00C3658D" w:rsidP="00C3658D">
      <w:pPr>
        <w:rPr>
          <w:rFonts w:ascii="Arial" w:hAnsi="Arial" w:cs="Arial"/>
          <w:sz w:val="20"/>
          <w:szCs w:val="20"/>
        </w:rPr>
      </w:pPr>
      <w:r w:rsidRPr="00470480">
        <w:rPr>
          <w:rFonts w:ascii="Arial" w:hAnsi="Arial" w:cs="Arial"/>
          <w:sz w:val="20"/>
          <w:szCs w:val="20"/>
        </w:rPr>
        <w:t>All Payment System Providers and Payment System Participants</w:t>
      </w:r>
    </w:p>
    <w:p w:rsidR="00C3658D" w:rsidRPr="00470480" w:rsidRDefault="00C3658D" w:rsidP="00C3658D">
      <w:pPr>
        <w:rPr>
          <w:rFonts w:ascii="Arial" w:hAnsi="Arial" w:cs="Arial"/>
          <w:sz w:val="20"/>
          <w:szCs w:val="20"/>
        </w:rPr>
      </w:pPr>
      <w:r w:rsidRPr="00470480">
        <w:rPr>
          <w:rFonts w:ascii="Arial" w:hAnsi="Arial" w:cs="Arial"/>
          <w:sz w:val="20"/>
          <w:szCs w:val="20"/>
        </w:rPr>
        <w:t>Madam / Dear Sir,</w:t>
      </w:r>
    </w:p>
    <w:p w:rsidR="00C3658D" w:rsidRPr="00470480" w:rsidRDefault="00C3658D" w:rsidP="00C3658D">
      <w:pPr>
        <w:rPr>
          <w:rFonts w:ascii="Arial" w:hAnsi="Arial" w:cs="Arial"/>
          <w:b/>
          <w:bCs/>
          <w:sz w:val="20"/>
          <w:szCs w:val="20"/>
        </w:rPr>
      </w:pPr>
      <w:r w:rsidRPr="00470480">
        <w:rPr>
          <w:rFonts w:ascii="Arial" w:hAnsi="Arial" w:cs="Arial"/>
          <w:b/>
          <w:bCs/>
          <w:sz w:val="20"/>
          <w:szCs w:val="20"/>
        </w:rPr>
        <w:t>Restriction on Storage of Actual Card Data [i.e. Card-</w:t>
      </w:r>
      <w:proofErr w:type="gramStart"/>
      <w:r w:rsidRPr="00470480">
        <w:rPr>
          <w:rFonts w:ascii="Arial" w:hAnsi="Arial" w:cs="Arial"/>
          <w:b/>
          <w:bCs/>
          <w:sz w:val="20"/>
          <w:szCs w:val="20"/>
        </w:rPr>
        <w:t>on</w:t>
      </w:r>
      <w:proofErr w:type="gramEnd"/>
      <w:r w:rsidRPr="00470480">
        <w:rPr>
          <w:rFonts w:ascii="Arial" w:hAnsi="Arial" w:cs="Arial"/>
          <w:b/>
          <w:bCs/>
          <w:sz w:val="20"/>
          <w:szCs w:val="20"/>
        </w:rPr>
        <w:t>-File (</w:t>
      </w:r>
      <w:proofErr w:type="spellStart"/>
      <w:r w:rsidRPr="00470480">
        <w:rPr>
          <w:rFonts w:ascii="Arial" w:hAnsi="Arial" w:cs="Arial"/>
          <w:b/>
          <w:bCs/>
          <w:sz w:val="20"/>
          <w:szCs w:val="20"/>
        </w:rPr>
        <w:t>CoF</w:t>
      </w:r>
      <w:proofErr w:type="spellEnd"/>
      <w:r w:rsidRPr="00470480">
        <w:rPr>
          <w:rFonts w:ascii="Arial" w:hAnsi="Arial" w:cs="Arial"/>
          <w:b/>
          <w:bCs/>
          <w:sz w:val="20"/>
          <w:szCs w:val="20"/>
        </w:rPr>
        <w:t>)]</w:t>
      </w:r>
    </w:p>
    <w:p w:rsidR="00C3658D" w:rsidRPr="00470480" w:rsidRDefault="00C3658D" w:rsidP="00C3658D">
      <w:pPr>
        <w:rPr>
          <w:rFonts w:ascii="Arial" w:hAnsi="Arial" w:cs="Arial"/>
          <w:sz w:val="20"/>
          <w:szCs w:val="20"/>
        </w:rPr>
      </w:pPr>
      <w:r w:rsidRPr="00470480">
        <w:rPr>
          <w:rFonts w:ascii="Arial" w:hAnsi="Arial" w:cs="Arial"/>
          <w:sz w:val="20"/>
          <w:szCs w:val="20"/>
        </w:rPr>
        <w:t>Reference is invited to </w:t>
      </w:r>
      <w:hyperlink r:id="rId5" w:tgtFrame="_blank" w:history="1">
        <w:r w:rsidRPr="00470480">
          <w:rPr>
            <w:rStyle w:val="Hyperlink"/>
            <w:rFonts w:ascii="Arial" w:hAnsi="Arial" w:cs="Arial"/>
            <w:sz w:val="20"/>
            <w:szCs w:val="20"/>
          </w:rPr>
          <w:t>Reserve Bank of India (RBI) circulars DPSS.CO.PD.No.1810/02.14.008/ 2019-20 dated March 17, 2020</w:t>
        </w:r>
      </w:hyperlink>
      <w:r w:rsidRPr="00470480">
        <w:rPr>
          <w:rFonts w:ascii="Arial" w:hAnsi="Arial" w:cs="Arial"/>
          <w:sz w:val="20"/>
          <w:szCs w:val="20"/>
        </w:rPr>
        <w:t> and </w:t>
      </w:r>
      <w:hyperlink r:id="rId6" w:tgtFrame="_blank" w:history="1">
        <w:r w:rsidRPr="00470480">
          <w:rPr>
            <w:rStyle w:val="Hyperlink"/>
            <w:rFonts w:ascii="Arial" w:hAnsi="Arial" w:cs="Arial"/>
            <w:sz w:val="20"/>
            <w:szCs w:val="20"/>
          </w:rPr>
          <w:t>CO.DPSS.POLC.No.S33/02-14-008/2020-2021 dated March 31, 2021</w:t>
        </w:r>
      </w:hyperlink>
      <w:r w:rsidRPr="00470480">
        <w:rPr>
          <w:rFonts w:ascii="Arial" w:hAnsi="Arial" w:cs="Arial"/>
          <w:sz w:val="20"/>
          <w:szCs w:val="20"/>
        </w:rPr>
        <w:t> on “Guidelines on Regulation of Payment Aggregators and Payment Gateways”, and </w:t>
      </w:r>
      <w:hyperlink r:id="rId7" w:tgtFrame="_blank" w:history="1">
        <w:r w:rsidRPr="00470480">
          <w:rPr>
            <w:rStyle w:val="Hyperlink"/>
            <w:rFonts w:ascii="Arial" w:hAnsi="Arial" w:cs="Arial"/>
            <w:sz w:val="20"/>
            <w:szCs w:val="20"/>
          </w:rPr>
          <w:t>CO.DPSS.POLC.No.S-516/02-14-003/2021-22 dated September 07, 2021</w:t>
        </w:r>
      </w:hyperlink>
      <w:r w:rsidRPr="00470480">
        <w:rPr>
          <w:rFonts w:ascii="Arial" w:hAnsi="Arial" w:cs="Arial"/>
          <w:sz w:val="20"/>
          <w:szCs w:val="20"/>
        </w:rPr>
        <w:t> on “Tokenisation – Card Transactions: Permitting Card-on-File Tokenisation (</w:t>
      </w:r>
      <w:proofErr w:type="spellStart"/>
      <w:r w:rsidRPr="00470480">
        <w:rPr>
          <w:rFonts w:ascii="Arial" w:hAnsi="Arial" w:cs="Arial"/>
          <w:sz w:val="20"/>
          <w:szCs w:val="20"/>
        </w:rPr>
        <w:t>CoFT</w:t>
      </w:r>
      <w:proofErr w:type="spellEnd"/>
      <w:r w:rsidRPr="00470480">
        <w:rPr>
          <w:rFonts w:ascii="Arial" w:hAnsi="Arial" w:cs="Arial"/>
          <w:sz w:val="20"/>
          <w:szCs w:val="20"/>
        </w:rPr>
        <w:t>) Services”.</w:t>
      </w:r>
    </w:p>
    <w:p w:rsidR="00C3658D" w:rsidRPr="00470480" w:rsidRDefault="00C3658D" w:rsidP="00C3658D">
      <w:pPr>
        <w:rPr>
          <w:rFonts w:ascii="Arial" w:hAnsi="Arial" w:cs="Arial"/>
          <w:sz w:val="20"/>
          <w:szCs w:val="20"/>
        </w:rPr>
      </w:pPr>
      <w:r w:rsidRPr="00470480">
        <w:rPr>
          <w:rFonts w:ascii="Arial" w:hAnsi="Arial" w:cs="Arial"/>
          <w:sz w:val="20"/>
          <w:szCs w:val="20"/>
        </w:rPr>
        <w:t xml:space="preserve">2. In terms of these circulars, with effect from January 1, 2022, no entity in the card transaction / payment chain, other than the card issuers and / or card networks, shall store the </w:t>
      </w:r>
      <w:proofErr w:type="spellStart"/>
      <w:r w:rsidRPr="00470480">
        <w:rPr>
          <w:rFonts w:ascii="Arial" w:hAnsi="Arial" w:cs="Arial"/>
          <w:sz w:val="20"/>
          <w:szCs w:val="20"/>
        </w:rPr>
        <w:t>CoF</w:t>
      </w:r>
      <w:proofErr w:type="spellEnd"/>
      <w:r w:rsidRPr="00470480">
        <w:rPr>
          <w:rFonts w:ascii="Arial" w:hAnsi="Arial" w:cs="Arial"/>
          <w:sz w:val="20"/>
          <w:szCs w:val="20"/>
        </w:rPr>
        <w:t xml:space="preserve"> data, and any such data stored previously shall be purged. Subsequently, to allow more time to the industry stakeholders for devising alternate mechanism(s) to handle any use case or post-transaction activity, this timeline was extended to June 30, 2022, vide </w:t>
      </w:r>
      <w:hyperlink r:id="rId8" w:tgtFrame="_blank" w:history="1">
        <w:r w:rsidRPr="00470480">
          <w:rPr>
            <w:rStyle w:val="Hyperlink"/>
            <w:rFonts w:ascii="Arial" w:hAnsi="Arial" w:cs="Arial"/>
            <w:sz w:val="20"/>
            <w:szCs w:val="20"/>
          </w:rPr>
          <w:t>circular CO.DPSS.POLC.No.S-1211/02-14-003/2021-22 dated December 23, 2021</w:t>
        </w:r>
      </w:hyperlink>
      <w:r w:rsidRPr="00470480">
        <w:rPr>
          <w:rFonts w:ascii="Arial" w:hAnsi="Arial" w:cs="Arial"/>
          <w:sz w:val="20"/>
          <w:szCs w:val="20"/>
        </w:rPr>
        <w:t> on “Restriction on storage of actual card data [i.e. Card-on-File (</w:t>
      </w:r>
      <w:proofErr w:type="spellStart"/>
      <w:r w:rsidRPr="00470480">
        <w:rPr>
          <w:rFonts w:ascii="Arial" w:hAnsi="Arial" w:cs="Arial"/>
          <w:sz w:val="20"/>
          <w:szCs w:val="20"/>
        </w:rPr>
        <w:t>CoF</w:t>
      </w:r>
      <w:proofErr w:type="spellEnd"/>
      <w:r w:rsidRPr="00470480">
        <w:rPr>
          <w:rFonts w:ascii="Arial" w:hAnsi="Arial" w:cs="Arial"/>
          <w:sz w:val="20"/>
          <w:szCs w:val="20"/>
        </w:rPr>
        <w:t>)]”.</w:t>
      </w:r>
    </w:p>
    <w:p w:rsidR="00C3658D" w:rsidRPr="00470480" w:rsidRDefault="00C3658D" w:rsidP="00C3658D">
      <w:pPr>
        <w:rPr>
          <w:rFonts w:ascii="Arial" w:hAnsi="Arial" w:cs="Arial"/>
          <w:sz w:val="20"/>
          <w:szCs w:val="20"/>
        </w:rPr>
      </w:pPr>
      <w:r w:rsidRPr="00470480">
        <w:rPr>
          <w:rFonts w:ascii="Arial" w:hAnsi="Arial" w:cs="Arial"/>
          <w:sz w:val="20"/>
          <w:szCs w:val="20"/>
        </w:rPr>
        <w:t>3. On a review of the issues involved and after detailed discussions with all stakeholders, it is observed that considerable progress has been made in terms of token creation. Transaction processing based on these tokens has also commenced, though it is yet to gain traction across all categories of merchants. Further, an alternate system in respect of transactions where cardholders decide to enter the card details manually at the time of undertaking the transaction (commonly referred to as “guest checkout transactions”) has not been implemented by the industry stakeholders, so far.</w:t>
      </w:r>
    </w:p>
    <w:p w:rsidR="00C3658D" w:rsidRPr="00470480" w:rsidRDefault="00C3658D" w:rsidP="00C3658D">
      <w:pPr>
        <w:rPr>
          <w:rFonts w:ascii="Arial" w:hAnsi="Arial" w:cs="Arial"/>
          <w:sz w:val="20"/>
          <w:szCs w:val="20"/>
        </w:rPr>
      </w:pPr>
      <w:r w:rsidRPr="00470480">
        <w:rPr>
          <w:rFonts w:ascii="Arial" w:hAnsi="Arial" w:cs="Arial"/>
          <w:sz w:val="20"/>
          <w:szCs w:val="20"/>
        </w:rPr>
        <w:t xml:space="preserve">4. Given the above, it has been decided to extend the timeline for storing of </w:t>
      </w:r>
      <w:proofErr w:type="spellStart"/>
      <w:r w:rsidRPr="00470480">
        <w:rPr>
          <w:rFonts w:ascii="Arial" w:hAnsi="Arial" w:cs="Arial"/>
          <w:sz w:val="20"/>
          <w:szCs w:val="20"/>
        </w:rPr>
        <w:t>CoF</w:t>
      </w:r>
      <w:proofErr w:type="spellEnd"/>
      <w:r w:rsidRPr="00470480">
        <w:rPr>
          <w:rFonts w:ascii="Arial" w:hAnsi="Arial" w:cs="Arial"/>
          <w:sz w:val="20"/>
          <w:szCs w:val="20"/>
        </w:rPr>
        <w:t xml:space="preserve"> data by three months, i.e., till September 30, 2022, after which such data shall be purged.</w:t>
      </w:r>
    </w:p>
    <w:p w:rsidR="00C3658D" w:rsidRPr="00470480" w:rsidRDefault="00C3658D" w:rsidP="00C3658D">
      <w:pPr>
        <w:rPr>
          <w:rFonts w:ascii="Arial" w:hAnsi="Arial" w:cs="Arial"/>
          <w:sz w:val="20"/>
          <w:szCs w:val="20"/>
        </w:rPr>
      </w:pPr>
      <w:r w:rsidRPr="00470480">
        <w:rPr>
          <w:rFonts w:ascii="Arial" w:hAnsi="Arial" w:cs="Arial"/>
          <w:sz w:val="20"/>
          <w:szCs w:val="20"/>
        </w:rPr>
        <w:t>5. This directive is issued under Section 10 (2) read with Section 18 of Payment and Settlement Systems Act, 2007 (Act 51 of 2007).</w:t>
      </w:r>
    </w:p>
    <w:p w:rsidR="00C3658D" w:rsidRPr="00470480" w:rsidRDefault="00C3658D" w:rsidP="00C3658D">
      <w:pPr>
        <w:rPr>
          <w:rFonts w:ascii="Arial" w:hAnsi="Arial" w:cs="Arial"/>
          <w:sz w:val="20"/>
          <w:szCs w:val="20"/>
        </w:rPr>
      </w:pPr>
      <w:r w:rsidRPr="00470480">
        <w:rPr>
          <w:rFonts w:ascii="Arial" w:hAnsi="Arial" w:cs="Arial"/>
          <w:sz w:val="20"/>
          <w:szCs w:val="20"/>
        </w:rPr>
        <w:t>Yours faithfully,</w:t>
      </w:r>
    </w:p>
    <w:p w:rsidR="00C3658D" w:rsidRPr="00470480" w:rsidRDefault="00C3658D" w:rsidP="00C3658D">
      <w:pPr>
        <w:rPr>
          <w:rFonts w:ascii="Arial" w:hAnsi="Arial" w:cs="Arial"/>
          <w:sz w:val="20"/>
          <w:szCs w:val="20"/>
        </w:rPr>
      </w:pPr>
      <w:r w:rsidRPr="00470480">
        <w:rPr>
          <w:rFonts w:ascii="Arial" w:hAnsi="Arial" w:cs="Arial"/>
          <w:sz w:val="20"/>
          <w:szCs w:val="20"/>
        </w:rPr>
        <w:lastRenderedPageBreak/>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C3658D" w:rsidRPr="00470480" w:rsidRDefault="00C3658D" w:rsidP="00C3658D">
      <w:pPr>
        <w:rPr>
          <w:rFonts w:ascii="Arial" w:hAnsi="Arial" w:cs="Arial"/>
          <w:sz w:val="20"/>
          <w:szCs w:val="20"/>
        </w:rPr>
      </w:pPr>
    </w:p>
    <w:p w:rsidR="00C3658D" w:rsidRPr="00470480" w:rsidRDefault="00C3658D" w:rsidP="00C3658D">
      <w:pPr>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https://www.rbi.org.in/Scripts/NotificationUser.aspx?Id=12345&amp;Mode=0</w:t>
        </w:r>
      </w:hyperlink>
    </w:p>
    <w:p w:rsidR="00C3658D" w:rsidRPr="00470480" w:rsidRDefault="00C3658D" w:rsidP="00C3658D">
      <w:pPr>
        <w:rPr>
          <w:rFonts w:ascii="Arial" w:hAnsi="Arial" w:cs="Arial"/>
          <w:sz w:val="20"/>
          <w:szCs w:val="20"/>
        </w:rPr>
      </w:pPr>
    </w:p>
    <w:p w:rsidR="00C3658D" w:rsidRPr="00470480" w:rsidRDefault="00C3658D" w:rsidP="00C3658D">
      <w:pPr>
        <w:rPr>
          <w:rFonts w:ascii="Arial" w:hAnsi="Arial" w:cs="Arial"/>
          <w:sz w:val="20"/>
          <w:szCs w:val="20"/>
        </w:rPr>
      </w:pPr>
    </w:p>
    <w:p w:rsidR="00C3658D" w:rsidRDefault="00C3658D" w:rsidP="00C3658D">
      <w:pPr>
        <w:jc w:val="both"/>
        <w:rPr>
          <w:rFonts w:ascii="Arial" w:hAnsi="Arial" w:cs="Arial"/>
          <w:b/>
          <w:bCs/>
          <w:color w:val="000000"/>
          <w:sz w:val="20"/>
          <w:szCs w:val="20"/>
        </w:rPr>
      </w:pPr>
    </w:p>
    <w:p w:rsidR="00C3658D" w:rsidRDefault="00C3658D">
      <w:pPr>
        <w:rPr>
          <w:b/>
        </w:rPr>
      </w:pPr>
      <w:r>
        <w:rPr>
          <w:b/>
        </w:rPr>
        <w:br w:type="page"/>
      </w:r>
    </w:p>
    <w:p w:rsidR="00C3658D" w:rsidRPr="00470480" w:rsidRDefault="00C3658D" w:rsidP="00C3658D">
      <w:pPr>
        <w:jc w:val="both"/>
        <w:rPr>
          <w:rFonts w:ascii="Arial" w:hAnsi="Arial" w:cs="Arial"/>
          <w:sz w:val="20"/>
          <w:szCs w:val="20"/>
        </w:rPr>
      </w:pPr>
    </w:p>
    <w:p w:rsidR="00C3658D" w:rsidRPr="00470480" w:rsidRDefault="00C3658D" w:rsidP="00C3658D">
      <w:pPr>
        <w:jc w:val="both"/>
        <w:rPr>
          <w:rFonts w:ascii="Arial" w:hAnsi="Arial" w:cs="Arial"/>
          <w:b/>
          <w:bCs/>
          <w:color w:val="000000"/>
          <w:sz w:val="20"/>
          <w:szCs w:val="20"/>
        </w:rPr>
      </w:pPr>
      <w:r w:rsidRPr="00470480">
        <w:rPr>
          <w:rFonts w:ascii="Arial" w:hAnsi="Arial" w:cs="Arial"/>
          <w:b/>
          <w:bCs/>
          <w:color w:val="000000"/>
          <w:sz w:val="20"/>
          <w:szCs w:val="20"/>
        </w:rPr>
        <w:t>Processing of e-mandates for recurring transactions</w:t>
      </w:r>
    </w:p>
    <w:p w:rsidR="00C3658D" w:rsidRPr="00470480" w:rsidRDefault="00C3658D" w:rsidP="00C3658D">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C3658D" w:rsidRPr="00470480" w:rsidRDefault="00C3658D" w:rsidP="00C3658D">
      <w:pPr>
        <w:jc w:val="both"/>
        <w:rPr>
          <w:rFonts w:ascii="Arial" w:hAnsi="Arial" w:cs="Arial"/>
          <w:sz w:val="20"/>
          <w:szCs w:val="20"/>
        </w:rPr>
      </w:pPr>
      <w:r w:rsidRPr="00470480">
        <w:rPr>
          <w:rFonts w:ascii="Arial" w:hAnsi="Arial" w:cs="Arial"/>
          <w:sz w:val="20"/>
          <w:szCs w:val="20"/>
        </w:rPr>
        <w:t>June 16, 2022</w:t>
      </w:r>
    </w:p>
    <w:p w:rsidR="00C3658D" w:rsidRPr="00470480" w:rsidRDefault="00C3658D" w:rsidP="00C3658D">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t>Non-bank Prepaid Payment Instrument Issuers / Authorised Card Payment Networks /</w:t>
      </w:r>
      <w:r w:rsidRPr="00470480">
        <w:rPr>
          <w:rFonts w:ascii="Arial" w:hAnsi="Arial" w:cs="Arial"/>
          <w:sz w:val="20"/>
          <w:szCs w:val="20"/>
        </w:rPr>
        <w:br/>
        <w:t>National Payments Corporation of India</w:t>
      </w:r>
    </w:p>
    <w:p w:rsidR="00C3658D" w:rsidRPr="00470480" w:rsidRDefault="00C3658D" w:rsidP="00C3658D">
      <w:pPr>
        <w:jc w:val="both"/>
        <w:rPr>
          <w:rFonts w:ascii="Arial" w:hAnsi="Arial" w:cs="Arial"/>
          <w:sz w:val="20"/>
          <w:szCs w:val="20"/>
        </w:rPr>
      </w:pPr>
      <w:r w:rsidRPr="00470480">
        <w:rPr>
          <w:rFonts w:ascii="Arial" w:hAnsi="Arial" w:cs="Arial"/>
          <w:sz w:val="20"/>
          <w:szCs w:val="20"/>
        </w:rPr>
        <w:t>Madam / Dear Sir,</w:t>
      </w:r>
    </w:p>
    <w:p w:rsidR="00C3658D" w:rsidRPr="00470480" w:rsidRDefault="00C3658D" w:rsidP="00C3658D">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C3658D" w:rsidRPr="00470480" w:rsidRDefault="00C3658D" w:rsidP="00C3658D">
      <w:pPr>
        <w:jc w:val="both"/>
        <w:rPr>
          <w:rFonts w:ascii="Arial" w:hAnsi="Arial" w:cs="Arial"/>
          <w:sz w:val="20"/>
          <w:szCs w:val="20"/>
        </w:rPr>
      </w:pPr>
      <w:r w:rsidRPr="00470480">
        <w:rPr>
          <w:rFonts w:ascii="Arial" w:hAnsi="Arial" w:cs="Arial"/>
          <w:sz w:val="20"/>
          <w:szCs w:val="20"/>
        </w:rPr>
        <w:t>A reference is invited to our circulars </w:t>
      </w:r>
      <w:hyperlink r:id="rId10"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11"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12"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13"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(collectively referred to as “e-mandate framework”). The e-mandate 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C3658D" w:rsidRPr="00470480" w:rsidRDefault="00C3658D" w:rsidP="00C3658D">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C3658D" w:rsidRPr="00470480" w:rsidRDefault="00C3658D" w:rsidP="00C3658D">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C3658D" w:rsidRPr="00470480" w:rsidRDefault="00C3658D" w:rsidP="00C3658D">
      <w:pPr>
        <w:jc w:val="both"/>
        <w:rPr>
          <w:rFonts w:ascii="Arial" w:hAnsi="Arial" w:cs="Arial"/>
          <w:sz w:val="20"/>
          <w:szCs w:val="20"/>
        </w:rPr>
      </w:pPr>
      <w:r w:rsidRPr="00470480">
        <w:rPr>
          <w:rFonts w:ascii="Arial" w:hAnsi="Arial" w:cs="Arial"/>
          <w:sz w:val="20"/>
          <w:szCs w:val="20"/>
        </w:rPr>
        <w:t>Yours faithfully,</w:t>
      </w:r>
    </w:p>
    <w:p w:rsidR="00C3658D" w:rsidRPr="00470480" w:rsidRDefault="00C3658D" w:rsidP="00C3658D">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C3658D" w:rsidRDefault="00C3658D" w:rsidP="00C3658D">
      <w:pPr>
        <w:jc w:val="both"/>
        <w:rPr>
          <w:rFonts w:ascii="Arial" w:hAnsi="Arial" w:cs="Arial"/>
          <w:sz w:val="20"/>
          <w:szCs w:val="20"/>
        </w:rPr>
      </w:pPr>
    </w:p>
    <w:p w:rsidR="00C3658D" w:rsidRDefault="00C3658D" w:rsidP="00C3658D">
      <w:pPr>
        <w:jc w:val="both"/>
        <w:rPr>
          <w:rFonts w:ascii="Arial" w:hAnsi="Arial" w:cs="Arial"/>
          <w:sz w:val="20"/>
          <w:szCs w:val="20"/>
        </w:rPr>
      </w:pPr>
    </w:p>
    <w:p w:rsidR="00C3658D" w:rsidRPr="00470480" w:rsidRDefault="00C3658D" w:rsidP="00C3658D">
      <w:pPr>
        <w:jc w:val="both"/>
        <w:rPr>
          <w:rFonts w:ascii="Arial" w:hAnsi="Arial" w:cs="Arial"/>
          <w:sz w:val="20"/>
          <w:szCs w:val="20"/>
        </w:rPr>
      </w:pPr>
      <w:r w:rsidRPr="00470480">
        <w:rPr>
          <w:rFonts w:ascii="Arial" w:hAnsi="Arial" w:cs="Arial"/>
          <w:sz w:val="20"/>
          <w:szCs w:val="20"/>
        </w:rPr>
        <w:t xml:space="preserve">Reference Link: </w:t>
      </w:r>
      <w:hyperlink r:id="rId14" w:history="1">
        <w:r w:rsidRPr="00470480">
          <w:rPr>
            <w:rStyle w:val="Hyperlink"/>
            <w:rFonts w:ascii="Arial" w:hAnsi="Arial" w:cs="Arial"/>
            <w:sz w:val="20"/>
            <w:szCs w:val="20"/>
          </w:rPr>
          <w:t>https://www.rbi.org.in/Scripts/NotificationUser.aspx?Id=12341&amp;Mode=0</w:t>
        </w:r>
      </w:hyperlink>
    </w:p>
    <w:p w:rsidR="00C3658D" w:rsidRPr="00470480" w:rsidRDefault="00C3658D" w:rsidP="00C3658D">
      <w:pPr>
        <w:jc w:val="both"/>
        <w:rPr>
          <w:rFonts w:ascii="Arial" w:hAnsi="Arial" w:cs="Arial"/>
          <w:sz w:val="20"/>
          <w:szCs w:val="20"/>
        </w:rPr>
      </w:pPr>
    </w:p>
    <w:p w:rsidR="00C3658D" w:rsidRPr="00470480" w:rsidRDefault="00C3658D" w:rsidP="00C3658D">
      <w:pPr>
        <w:jc w:val="both"/>
        <w:rPr>
          <w:rFonts w:ascii="Arial" w:hAnsi="Arial" w:cs="Arial"/>
          <w:sz w:val="20"/>
          <w:szCs w:val="20"/>
        </w:rPr>
      </w:pPr>
    </w:p>
    <w:p w:rsidR="00C3658D" w:rsidRPr="00470480" w:rsidRDefault="00C3658D" w:rsidP="00C3658D">
      <w:pPr>
        <w:jc w:val="both"/>
        <w:rPr>
          <w:rFonts w:ascii="Arial" w:hAnsi="Arial" w:cs="Arial"/>
          <w:sz w:val="20"/>
          <w:szCs w:val="20"/>
        </w:rPr>
      </w:pPr>
    </w:p>
    <w:p w:rsidR="00C3658D" w:rsidRPr="00470480" w:rsidRDefault="00C3658D" w:rsidP="00C3658D">
      <w:pPr>
        <w:jc w:val="both"/>
        <w:rPr>
          <w:rFonts w:ascii="Arial" w:hAnsi="Arial" w:cs="Arial"/>
          <w:sz w:val="20"/>
          <w:szCs w:val="20"/>
        </w:rPr>
      </w:pPr>
    </w:p>
    <w:p w:rsidR="00C3658D" w:rsidRPr="00470480" w:rsidRDefault="00C3658D" w:rsidP="00C3658D">
      <w:pPr>
        <w:jc w:val="both"/>
        <w:rPr>
          <w:rFonts w:ascii="Arial" w:hAnsi="Arial" w:cs="Arial"/>
          <w:sz w:val="20"/>
          <w:szCs w:val="20"/>
        </w:rPr>
      </w:pPr>
    </w:p>
    <w:p w:rsidR="00C3658D" w:rsidRDefault="00C3658D">
      <w:pPr>
        <w:rPr>
          <w:b/>
        </w:rPr>
      </w:pPr>
      <w:r>
        <w:rPr>
          <w:b/>
        </w:rPr>
        <w:br w:type="page"/>
      </w:r>
    </w:p>
    <w:p w:rsidR="00C3658D" w:rsidRDefault="00C3658D" w:rsidP="00C3658D">
      <w:pPr>
        <w:spacing w:after="0"/>
        <w:jc w:val="both"/>
        <w:rPr>
          <w:rFonts w:ascii="Arial" w:hAnsi="Arial" w:cs="Arial"/>
          <w:b/>
          <w:bCs/>
          <w:color w:val="000000"/>
          <w:sz w:val="20"/>
          <w:szCs w:val="20"/>
        </w:rPr>
      </w:pPr>
    </w:p>
    <w:p w:rsidR="00C3658D" w:rsidRPr="00470480" w:rsidRDefault="00C3658D" w:rsidP="00C3658D">
      <w:pPr>
        <w:spacing w:after="0"/>
        <w:jc w:val="both"/>
        <w:rPr>
          <w:rFonts w:ascii="Arial" w:hAnsi="Arial" w:cs="Arial"/>
          <w:b/>
          <w:bCs/>
          <w:color w:val="000000"/>
          <w:sz w:val="20"/>
          <w:szCs w:val="20"/>
        </w:rPr>
      </w:pPr>
      <w:r w:rsidRPr="00470480">
        <w:rPr>
          <w:rFonts w:ascii="Arial" w:hAnsi="Arial" w:cs="Arial"/>
          <w:b/>
          <w:bCs/>
          <w:color w:val="000000"/>
          <w:sz w:val="20"/>
          <w:szCs w:val="20"/>
        </w:rPr>
        <w:t>Bharat Bill Payment System – Amendment to guidelines</w:t>
      </w:r>
    </w:p>
    <w:p w:rsidR="00C3658D" w:rsidRPr="00470480" w:rsidRDefault="00C3658D" w:rsidP="00C3658D">
      <w:pPr>
        <w:spacing w:after="0"/>
        <w:jc w:val="both"/>
        <w:rPr>
          <w:rFonts w:ascii="Arial" w:hAnsi="Arial" w:cs="Arial"/>
          <w:b/>
          <w:bCs/>
          <w:color w:val="000000"/>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RBI/2022-2023/58</w:t>
      </w:r>
    </w:p>
    <w:p w:rsidR="00C3658D" w:rsidRPr="00470480" w:rsidRDefault="00C3658D" w:rsidP="00C3658D">
      <w:pPr>
        <w:spacing w:after="0"/>
        <w:jc w:val="both"/>
        <w:rPr>
          <w:rFonts w:ascii="Arial" w:hAnsi="Arial" w:cs="Arial"/>
          <w:sz w:val="20"/>
          <w:szCs w:val="20"/>
        </w:rPr>
      </w:pPr>
      <w:proofErr w:type="spellStart"/>
      <w:r w:rsidRPr="00470480">
        <w:rPr>
          <w:rFonts w:ascii="Arial" w:hAnsi="Arial" w:cs="Arial"/>
          <w:sz w:val="20"/>
          <w:szCs w:val="20"/>
        </w:rPr>
        <w:t>CO.DPSS.POLC.No</w:t>
      </w:r>
      <w:proofErr w:type="spellEnd"/>
      <w:r w:rsidRPr="00470480">
        <w:rPr>
          <w:rFonts w:ascii="Arial" w:hAnsi="Arial" w:cs="Arial"/>
          <w:sz w:val="20"/>
          <w:szCs w:val="20"/>
        </w:rPr>
        <w:t>. S-253/02-27-020/2022-23</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May 26, 2022</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The Chairman and Managing Director / Chief Executive Officer</w:t>
      </w: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NPCI Bharat </w:t>
      </w:r>
      <w:proofErr w:type="spellStart"/>
      <w:r w:rsidRPr="00470480">
        <w:rPr>
          <w:rFonts w:ascii="Arial" w:hAnsi="Arial" w:cs="Arial"/>
          <w:sz w:val="20"/>
          <w:szCs w:val="20"/>
        </w:rPr>
        <w:t>BillPay</w:t>
      </w:r>
      <w:proofErr w:type="spellEnd"/>
      <w:r w:rsidRPr="00470480">
        <w:rPr>
          <w:rFonts w:ascii="Arial" w:hAnsi="Arial" w:cs="Arial"/>
          <w:sz w:val="20"/>
          <w:szCs w:val="20"/>
        </w:rPr>
        <w:t xml:space="preserve"> Ltd. / Bharat Bill Payment System Providers /</w:t>
      </w: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Participants and prospective Bharat Bill Payment Operating Units</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Madam / Dear Sir,</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Bharat Bill Payment System – Amendment to guidelines</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This has reference to the guidelines on Bharat Bill Payment System (BBPS) issued by the Reserve Bank of India (RBI) vide circular </w:t>
      </w:r>
      <w:proofErr w:type="gramStart"/>
      <w:r w:rsidRPr="00470480">
        <w:rPr>
          <w:rFonts w:ascii="Arial" w:hAnsi="Arial" w:cs="Arial"/>
          <w:sz w:val="20"/>
          <w:szCs w:val="20"/>
        </w:rPr>
        <w:t>DPSS.CO.PD.No.</w:t>
      </w:r>
      <w:proofErr w:type="gramEnd"/>
      <w:r w:rsidRPr="00470480">
        <w:rPr>
          <w:rFonts w:ascii="Arial" w:hAnsi="Arial" w:cs="Arial"/>
          <w:sz w:val="20"/>
          <w:szCs w:val="20"/>
        </w:rPr>
        <w:t xml:space="preserve">940/02.27.020/2014-2015 dated November 28, 2014. As announced in the Statement on Development and Regulatory Policies dated April 08, 2022, the minimum net-worth requirement for non-bank Bharat Bill Payment Operating Units (BBPOUs) stands reduced to ₹25 </w:t>
      </w:r>
      <w:proofErr w:type="gramStart"/>
      <w:r w:rsidRPr="00470480">
        <w:rPr>
          <w:rFonts w:ascii="Arial" w:hAnsi="Arial" w:cs="Arial"/>
          <w:sz w:val="20"/>
          <w:szCs w:val="20"/>
        </w:rPr>
        <w:t>crore</w:t>
      </w:r>
      <w:proofErr w:type="gramEnd"/>
      <w:r w:rsidRPr="00470480">
        <w:rPr>
          <w:rFonts w:ascii="Arial" w:hAnsi="Arial" w:cs="Arial"/>
          <w:sz w:val="20"/>
          <w:szCs w:val="20"/>
        </w:rPr>
        <w:t>. The BBPS guidelines have been suitably amended.</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2. This circular is issued under Section 10 (2) read with Section 18 of the Payment and Settlement Systems Act, 2007 (Act 51 of 2007), and shall come into effect immediately.</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Yours faithfully,</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Chief General Manager</w:t>
      </w:r>
    </w:p>
    <w:p w:rsidR="00C3658D" w:rsidRPr="00470480" w:rsidRDefault="00C3658D" w:rsidP="00C3658D">
      <w:pPr>
        <w:spacing w:after="0"/>
        <w:jc w:val="both"/>
        <w:rPr>
          <w:rFonts w:ascii="Arial" w:hAnsi="Arial" w:cs="Arial"/>
          <w:sz w:val="20"/>
          <w:szCs w:val="20"/>
        </w:rPr>
      </w:pPr>
    </w:p>
    <w:p w:rsidR="00C3658D" w:rsidRDefault="00C3658D" w:rsidP="00C3658D">
      <w:pPr>
        <w:spacing w:after="0"/>
        <w:jc w:val="both"/>
        <w:rPr>
          <w:rFonts w:ascii="Arial" w:hAnsi="Arial" w:cs="Arial"/>
          <w:sz w:val="20"/>
          <w:szCs w:val="20"/>
        </w:rPr>
      </w:pPr>
    </w:p>
    <w:p w:rsidR="00C3658D" w:rsidRDefault="00C3658D" w:rsidP="00C3658D">
      <w:pPr>
        <w:spacing w:after="0"/>
        <w:jc w:val="both"/>
        <w:rPr>
          <w:rFonts w:ascii="Arial" w:hAnsi="Arial" w:cs="Arial"/>
          <w:sz w:val="20"/>
          <w:szCs w:val="20"/>
        </w:rPr>
      </w:pPr>
    </w:p>
    <w:p w:rsidR="00C3658D"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Reference Link: </w:t>
      </w:r>
      <w:hyperlink r:id="rId15" w:history="1">
        <w:r w:rsidRPr="00470480">
          <w:rPr>
            <w:rStyle w:val="Hyperlink"/>
            <w:rFonts w:ascii="Arial" w:hAnsi="Arial" w:cs="Arial"/>
            <w:sz w:val="20"/>
            <w:szCs w:val="20"/>
          </w:rPr>
          <w:t>https://www.rbi.org.in/Scripts/NotificationUser.aspx?Id=12325&amp;Mode=0</w:t>
        </w:r>
      </w:hyperlink>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Default="00C3658D">
      <w:pPr>
        <w:rPr>
          <w:b/>
        </w:rPr>
      </w:pPr>
      <w:r>
        <w:rPr>
          <w:b/>
        </w:rPr>
        <w:br w:type="page"/>
      </w:r>
    </w:p>
    <w:p w:rsidR="00C3658D" w:rsidRPr="00470480" w:rsidRDefault="00C3658D" w:rsidP="00C3658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Interoperable Card-less Cash Withdrawal (ICCW) at ATMs</w:t>
      </w:r>
    </w:p>
    <w:p w:rsidR="00C3658D" w:rsidRPr="00470480" w:rsidRDefault="00C3658D" w:rsidP="00C3658D">
      <w:pPr>
        <w:spacing w:after="0"/>
        <w:jc w:val="both"/>
        <w:rPr>
          <w:rFonts w:ascii="Arial" w:hAnsi="Arial" w:cs="Arial"/>
          <w:b/>
          <w:bCs/>
          <w:color w:val="000000"/>
          <w:sz w:val="20"/>
          <w:szCs w:val="20"/>
        </w:rPr>
      </w:pP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RBI/2022-23/54</w:t>
      </w:r>
      <w:r w:rsidRPr="00470480">
        <w:rPr>
          <w:rFonts w:ascii="Arial" w:hAnsi="Arial" w:cs="Arial"/>
          <w:color w:val="000000"/>
          <w:sz w:val="20"/>
          <w:szCs w:val="20"/>
        </w:rPr>
        <w:br/>
        <w:t>CO.DPSS.POLC.No.S-227/02-10-002/2022-23</w:t>
      </w:r>
    </w:p>
    <w:p w:rsidR="00C3658D" w:rsidRPr="00470480" w:rsidRDefault="00C3658D" w:rsidP="00C3658D">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The Chairman and Managing Director / Chief Executive Officer</w:t>
      </w:r>
      <w:r w:rsidRPr="00470480">
        <w:rPr>
          <w:rFonts w:ascii="Arial" w:hAnsi="Arial" w:cs="Arial"/>
          <w:color w:val="000000"/>
          <w:sz w:val="20"/>
          <w:szCs w:val="20"/>
        </w:rPr>
        <w:br/>
        <w:t>Scheduled Commercial Banks including RRBs /</w:t>
      </w:r>
      <w:r w:rsidRPr="00470480">
        <w:rPr>
          <w:rFonts w:ascii="Arial" w:hAnsi="Arial" w:cs="Arial"/>
          <w:color w:val="000000"/>
          <w:sz w:val="20"/>
          <w:szCs w:val="20"/>
        </w:rPr>
        <w:br/>
        <w:t>Urban Co-operative Banks / State Co-operative Banks /</w:t>
      </w:r>
      <w:r w:rsidRPr="00470480">
        <w:rPr>
          <w:rFonts w:ascii="Arial" w:hAnsi="Arial" w:cs="Arial"/>
          <w:color w:val="000000"/>
          <w:sz w:val="20"/>
          <w:szCs w:val="20"/>
        </w:rPr>
        <w:br/>
        <w:t>District Central Co-operative Banks / Payment Banks / Small Finance Banks /</w:t>
      </w:r>
      <w:r w:rsidRPr="00470480">
        <w:rPr>
          <w:rFonts w:ascii="Arial" w:hAnsi="Arial" w:cs="Arial"/>
          <w:color w:val="000000"/>
          <w:sz w:val="20"/>
          <w:szCs w:val="20"/>
        </w:rPr>
        <w:br/>
        <w:t>National Payments Corporation of India (NPCI) /</w:t>
      </w:r>
      <w:r w:rsidRPr="00470480">
        <w:rPr>
          <w:rFonts w:ascii="Arial" w:hAnsi="Arial" w:cs="Arial"/>
          <w:color w:val="000000"/>
          <w:sz w:val="20"/>
          <w:szCs w:val="20"/>
        </w:rPr>
        <w:br/>
        <w:t>ATM Networks / White Label ATM Operators (WLAOs)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C3658D" w:rsidRPr="00470480" w:rsidRDefault="00C3658D" w:rsidP="00C3658D">
      <w:pPr>
        <w:pStyle w:val="head"/>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at ATMs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7 of </w:t>
      </w:r>
      <w:hyperlink r:id="rId16" w:tgtFrame="_blank" w:history="1">
        <w:r w:rsidRPr="00470480">
          <w:rPr>
            <w:rStyle w:val="Hyperlink"/>
            <w:rFonts w:ascii="Arial" w:hAnsi="Arial" w:cs="Arial"/>
            <w:sz w:val="20"/>
            <w:szCs w:val="20"/>
          </w:rPr>
          <w:t>Statement on Development and Regulatory Policies dated April 08, 2022</w:t>
        </w:r>
      </w:hyperlink>
      <w:r w:rsidRPr="00470480">
        <w:rPr>
          <w:rFonts w:ascii="Arial" w:hAnsi="Arial" w:cs="Arial"/>
          <w:color w:val="000000"/>
          <w:sz w:val="20"/>
          <w:szCs w:val="20"/>
        </w:rPr>
        <w:t>, wherein the Reserve Bank of India (RBI) had announced introduction of ICCW.</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2. All banks, ATM networks and WLAOs may provide the option of ICCW at their ATMs. NPCI has been advised to facilitate Unified Payments Interface (UPI) integration with all banks and ATM networks. While UPI would be used for customer authorisation in such transactions, settlement would be through the National Financial Switch (NFS) / ATM networks. The on-us / off-us ICCW transactions shall be processed without levy of any charges other than those prescribed under the circular on </w:t>
      </w:r>
      <w:hyperlink r:id="rId17" w:tgtFrame="_blank" w:history="1">
        <w:r w:rsidRPr="00470480">
          <w:rPr>
            <w:rStyle w:val="Hyperlink"/>
            <w:rFonts w:ascii="Arial" w:hAnsi="Arial" w:cs="Arial"/>
            <w:sz w:val="20"/>
            <w:szCs w:val="20"/>
          </w:rPr>
          <w:t>Interchange Fee and Customer Charges</w:t>
        </w:r>
      </w:hyperlink>
      <w:r w:rsidRPr="00470480">
        <w:rPr>
          <w:rFonts w:ascii="Arial" w:hAnsi="Arial" w:cs="Arial"/>
          <w:color w:val="000000"/>
          <w:sz w:val="20"/>
          <w:szCs w:val="20"/>
        </w:rPr>
        <w:t>.</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3. Withdrawal limits for ICCW transactions shall be in-line with the limits for regular on-us / off-us ATM withdrawals. All other instructions related to </w:t>
      </w:r>
      <w:hyperlink r:id="rId18" w:tgtFrame="_blank" w:history="1">
        <w:r w:rsidRPr="00470480">
          <w:rPr>
            <w:rStyle w:val="Hyperlink"/>
            <w:rFonts w:ascii="Arial" w:hAnsi="Arial" w:cs="Arial"/>
            <w:sz w:val="20"/>
            <w:szCs w:val="20"/>
          </w:rPr>
          <w:t>Harmonisation of Turn Around Time (TAT) and customer compensation for failed transactions</w:t>
        </w:r>
      </w:hyperlink>
      <w:r w:rsidRPr="00470480">
        <w:rPr>
          <w:rFonts w:ascii="Arial" w:hAnsi="Arial" w:cs="Arial"/>
          <w:color w:val="000000"/>
          <w:sz w:val="20"/>
          <w:szCs w:val="20"/>
        </w:rPr>
        <w:t> shall continue to be applicable.</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10(2) read with Section 18 of the Payment and Settlement Systems Act, 2007 (Act 51 of 2007).</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9" w:history="1">
        <w:r w:rsidRPr="00470480">
          <w:rPr>
            <w:rStyle w:val="Hyperlink"/>
            <w:rFonts w:ascii="Arial" w:hAnsi="Arial" w:cs="Arial"/>
            <w:sz w:val="20"/>
            <w:szCs w:val="20"/>
          </w:rPr>
          <w:t>https://www.rbi.org.in/Scripts/NotificationUser.aspx?Id=12321&amp;Mode=0</w:t>
        </w:r>
      </w:hyperlink>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Default="00C3658D">
      <w:pPr>
        <w:rPr>
          <w:b/>
        </w:rPr>
      </w:pPr>
      <w:r>
        <w:rPr>
          <w:b/>
        </w:rPr>
        <w:br w:type="page"/>
      </w:r>
    </w:p>
    <w:p w:rsidR="00C3658D" w:rsidRPr="00470480" w:rsidRDefault="00C3658D" w:rsidP="00C3658D">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Legal Entity Identifier (LEI) for Borrowers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RBI/2022-23/34</w:t>
      </w:r>
      <w:r w:rsidRPr="00470480">
        <w:rPr>
          <w:rFonts w:ascii="Arial" w:hAnsi="Arial" w:cs="Arial"/>
          <w:color w:val="000000"/>
          <w:sz w:val="20"/>
          <w:szCs w:val="20"/>
        </w:rPr>
        <w:br/>
        <w:t>DOR.CRE.REC.28/21.04.048/2022-23</w:t>
      </w:r>
    </w:p>
    <w:p w:rsidR="00C3658D" w:rsidRPr="00470480" w:rsidRDefault="00C3658D" w:rsidP="00C3658D">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Regional Rural Banks),</w:t>
      </w:r>
      <w:r w:rsidRPr="00470480">
        <w:rPr>
          <w:rFonts w:ascii="Arial" w:hAnsi="Arial" w:cs="Arial"/>
          <w:color w:val="000000"/>
          <w:sz w:val="20"/>
          <w:szCs w:val="20"/>
        </w:rPr>
        <w:br/>
        <w:t>All India Financial Institutions,</w:t>
      </w:r>
      <w:r w:rsidRPr="00470480">
        <w:rPr>
          <w:rFonts w:ascii="Arial" w:hAnsi="Arial" w:cs="Arial"/>
          <w:color w:val="000000"/>
          <w:sz w:val="20"/>
          <w:szCs w:val="20"/>
        </w:rPr>
        <w:br/>
        <w:t>Small Finance Banks, Local Area Banks,</w:t>
      </w:r>
      <w:r w:rsidRPr="00470480">
        <w:rPr>
          <w:rFonts w:ascii="Arial" w:hAnsi="Arial" w:cs="Arial"/>
          <w:color w:val="000000"/>
          <w:sz w:val="20"/>
          <w:szCs w:val="20"/>
        </w:rPr>
        <w:br/>
        <w:t>Primary (Urban) Co-operative Banks, and</w:t>
      </w:r>
      <w:r w:rsidRPr="00470480">
        <w:rPr>
          <w:rFonts w:ascii="Arial" w:hAnsi="Arial" w:cs="Arial"/>
          <w:color w:val="000000"/>
          <w:sz w:val="20"/>
          <w:szCs w:val="20"/>
        </w:rPr>
        <w:br/>
        <w:t>Non-Banking Financial Companies (including Housing Finance Companies)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C3658D" w:rsidRPr="00470480" w:rsidRDefault="00C3658D" w:rsidP="00C3658D">
      <w:pPr>
        <w:pStyle w:val="head"/>
        <w:jc w:val="both"/>
        <w:rPr>
          <w:rFonts w:ascii="Arial" w:hAnsi="Arial" w:cs="Arial"/>
          <w:b/>
          <w:bCs/>
          <w:color w:val="000000"/>
          <w:sz w:val="20"/>
          <w:szCs w:val="20"/>
        </w:rPr>
      </w:pPr>
      <w:r w:rsidRPr="00470480">
        <w:rPr>
          <w:rFonts w:ascii="Arial" w:hAnsi="Arial" w:cs="Arial"/>
          <w:b/>
          <w:bCs/>
          <w:color w:val="000000"/>
          <w:sz w:val="20"/>
          <w:szCs w:val="20"/>
        </w:rPr>
        <w:t>Legal Entity Identifier (LEI) for Borrowers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Please refer to Para 3 of </w:t>
      </w:r>
      <w:hyperlink r:id="rId20" w:tgtFrame="_blank" w:history="1">
        <w:r w:rsidRPr="00470480">
          <w:rPr>
            <w:rStyle w:val="Hyperlink"/>
            <w:rFonts w:ascii="Arial" w:hAnsi="Arial" w:cs="Arial"/>
            <w:sz w:val="20"/>
            <w:szCs w:val="20"/>
          </w:rPr>
          <w:t>DBR.No.BP.BC.92/21.04.048/2017-18 dated November 2, 2017</w:t>
        </w:r>
      </w:hyperlink>
      <w:r w:rsidRPr="00470480">
        <w:rPr>
          <w:rFonts w:ascii="Arial" w:hAnsi="Arial" w:cs="Arial"/>
          <w:color w:val="000000"/>
          <w:sz w:val="20"/>
          <w:szCs w:val="20"/>
        </w:rPr>
        <w:t>, on the captioned subject.</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guidelines on LEI stand extended to Primary (Urban) Co-operative Banks (UCBs) and Non-Banking Financial Companies (NBFCs). It is further advised that non-individual borrowers enjoying aggregate exposure of ₹5 crore and above from banks</w:t>
      </w:r>
      <w:hyperlink r:id="rId21"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financial institutions (FIs)</w:t>
      </w:r>
      <w:hyperlink r:id="rId22"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shall be required to obtain LEI codes as per the timeline given in the </w:t>
      </w:r>
      <w:hyperlink r:id="rId23"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“Exposure” for this purpose shall include all fund based and non-fund based (credit as well as investment) exposure of banks/FIs to the borrower. Aggregate sanctioned limit or outstanding balance, whichever is higher, shall be reckoned for the purpose. Lenders may ascertain the position of aggregate exposure based on information available either with them, or CRILC database or declaration obtained from the borrower.</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c) Borrowers who fail to obtain LEI codes from an authorized Local Operating Unit (LOU) shall not be sanctioned any new exposure nor shall they be granted renewal/enhancement of any existing exposure. However, Departments/Agencies</w:t>
      </w:r>
      <w:hyperlink r:id="rId24"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of Central and State Governments (not Public Sector Undertakings registered under Companies Act or established as Corporation under the relevant statute) shall be exempted from this provision.</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3. These directions are issued under sections 21, 35A and 56 of the Banking Regulation Act, 1949, sections 45JA and 45L of the Reserve Bank of India Act, 1934, section 30A of the National Housing Bank Act, 1987 and section 6 of the Factoring Regulation Act, 2011.</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C3658D" w:rsidRPr="00470480" w:rsidRDefault="00C3658D" w:rsidP="00C3658D">
      <w:pPr>
        <w:spacing w:before="100" w:beforeAutospacing="1" w:after="100" w:afterAutospacing="1" w:line="240" w:lineRule="auto"/>
        <w:rPr>
          <w:rFonts w:ascii="Arial" w:eastAsia="Times New Roman" w:hAnsi="Arial" w:cs="Arial"/>
          <w:color w:val="000000"/>
          <w:sz w:val="20"/>
          <w:szCs w:val="20"/>
          <w:lang w:eastAsia="en-IN"/>
        </w:rPr>
      </w:pP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5" w:history="1">
        <w:r w:rsidRPr="00470480">
          <w:rPr>
            <w:rStyle w:val="Hyperlink"/>
            <w:rFonts w:ascii="Arial" w:hAnsi="Arial" w:cs="Arial"/>
            <w:sz w:val="20"/>
            <w:szCs w:val="20"/>
          </w:rPr>
          <w:t>https://www.rbi.org.in/Scripts/NotificationUser.aspx?Id=12301&amp;Mode=0</w:t>
        </w:r>
      </w:hyperlink>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Establishment of Digital Banking Units (DBUs)</w:t>
      </w:r>
    </w:p>
    <w:p w:rsidR="00C3658D" w:rsidRPr="00470480" w:rsidRDefault="00C3658D" w:rsidP="00C3658D">
      <w:pPr>
        <w:spacing w:after="0"/>
        <w:jc w:val="both"/>
        <w:rPr>
          <w:rFonts w:ascii="Arial" w:hAnsi="Arial" w:cs="Arial"/>
          <w:b/>
          <w:bCs/>
          <w:color w:val="000000"/>
          <w:sz w:val="20"/>
          <w:szCs w:val="20"/>
        </w:rPr>
      </w:pP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RBI/2022-23/19</w:t>
      </w:r>
      <w:r w:rsidRPr="00470480">
        <w:rPr>
          <w:rFonts w:ascii="Arial" w:hAnsi="Arial" w:cs="Arial"/>
          <w:color w:val="000000"/>
          <w:sz w:val="20"/>
          <w:szCs w:val="20"/>
        </w:rPr>
        <w:br/>
        <w:t>DOR.AUT.REC.12/22.01.001/2022-23</w:t>
      </w:r>
    </w:p>
    <w:p w:rsidR="00C3658D" w:rsidRPr="00470480" w:rsidRDefault="00C3658D" w:rsidP="00C3658D">
      <w:pPr>
        <w:pStyle w:val="NormalWeb"/>
        <w:jc w:val="right"/>
        <w:rPr>
          <w:rFonts w:ascii="Arial" w:hAnsi="Arial" w:cs="Arial"/>
          <w:color w:val="000000"/>
          <w:sz w:val="20"/>
          <w:szCs w:val="20"/>
        </w:rPr>
      </w:pPr>
      <w:r w:rsidRPr="00470480">
        <w:rPr>
          <w:rFonts w:ascii="Arial" w:hAnsi="Arial" w:cs="Arial"/>
          <w:color w:val="000000"/>
          <w:sz w:val="20"/>
          <w:szCs w:val="20"/>
        </w:rPr>
        <w:t>April 7, 2022</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(excluding Regional Rural Banks, Local Area Banks &amp; Payments Banks)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C3658D" w:rsidRPr="00470480" w:rsidRDefault="00C3658D" w:rsidP="00C3658D">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Establishment of Digital Banking Units (DBUs)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In recent times, digital banking has emerged as the preferred banking service delivery channel in the country along with ‘brick and mortar’ banking outlets. Reserve Bank has been taking progressive measures to improve availability of digital infrastructure for banking services. In furtherance of this objective and as a part of efforts to accelerate and widen the reach of digital banking services, the concept of “Digital Banking Units” (DBUs) is being introduced by the Reserve Bank.</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2. In pursuance of announcements made in the Union Budget 2022-23, guidelines have been prepared for setting up of Digital Banking Units (DBUs) by commercial banks on the basis of recommendations of a Working Group formed by RBI which included representatives of banks and Indian Banks' Association (IBA).</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3. The guidelines for establishment of DBUs are detailed in the </w:t>
      </w:r>
      <w:hyperlink r:id="rId26"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 xml:space="preserve">(Prakash </w:t>
      </w:r>
      <w:proofErr w:type="spellStart"/>
      <w:r w:rsidRPr="00470480">
        <w:rPr>
          <w:rFonts w:ascii="Arial" w:hAnsi="Arial" w:cs="Arial"/>
          <w:color w:val="000000"/>
          <w:sz w:val="20"/>
          <w:szCs w:val="20"/>
        </w:rPr>
        <w:t>Baliarsingh</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C3658D" w:rsidRPr="00470480" w:rsidRDefault="00C3658D" w:rsidP="00C3658D">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Reference Link: </w:t>
      </w:r>
      <w:hyperlink r:id="rId27" w:history="1">
        <w:r w:rsidRPr="00470480">
          <w:rPr>
            <w:rStyle w:val="Hyperlink"/>
            <w:rFonts w:ascii="Arial" w:hAnsi="Arial" w:cs="Arial"/>
            <w:sz w:val="20"/>
            <w:szCs w:val="20"/>
          </w:rPr>
          <w:t>https://www.rbi.org.in/Scripts/NotificationUser.aspx?Id=12285&amp;Mode=0</w:t>
        </w:r>
      </w:hyperlink>
    </w:p>
    <w:p w:rsidR="00C3658D" w:rsidRPr="00470480" w:rsidRDefault="00C3658D" w:rsidP="00C3658D">
      <w:pPr>
        <w:spacing w:after="0"/>
        <w:jc w:val="both"/>
        <w:rPr>
          <w:rFonts w:ascii="Arial" w:hAnsi="Arial" w:cs="Arial"/>
          <w:sz w:val="20"/>
          <w:szCs w:val="20"/>
        </w:rPr>
      </w:pPr>
    </w:p>
    <w:p w:rsidR="00C3658D" w:rsidRDefault="00C3658D">
      <w:pPr>
        <w:rPr>
          <w:b/>
        </w:rPr>
      </w:pPr>
      <w:r>
        <w:rPr>
          <w:b/>
        </w:rPr>
        <w:br w:type="page"/>
      </w:r>
    </w:p>
    <w:p w:rsidR="00C3658D" w:rsidRPr="00470480" w:rsidRDefault="00C3658D" w:rsidP="00C3658D">
      <w:pPr>
        <w:spacing w:after="0"/>
        <w:jc w:val="both"/>
        <w:rPr>
          <w:rFonts w:ascii="Arial" w:hAnsi="Arial" w:cs="Arial"/>
          <w:b/>
          <w:bCs/>
          <w:color w:val="000000"/>
          <w:sz w:val="20"/>
          <w:szCs w:val="20"/>
        </w:rPr>
      </w:pPr>
    </w:p>
    <w:p w:rsidR="00C3658D" w:rsidRPr="00470480" w:rsidRDefault="00C3658D" w:rsidP="00C3658D">
      <w:pPr>
        <w:spacing w:after="0"/>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C3658D" w:rsidRPr="00470480" w:rsidRDefault="00C3658D" w:rsidP="00C3658D">
      <w:pPr>
        <w:spacing w:after="0"/>
        <w:jc w:val="both"/>
        <w:rPr>
          <w:rFonts w:ascii="Arial" w:hAnsi="Arial" w:cs="Arial"/>
          <w:b/>
          <w:bCs/>
          <w:color w:val="000000"/>
          <w:sz w:val="20"/>
          <w:szCs w:val="20"/>
        </w:rPr>
      </w:pP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RBI/2021-22/190</w:t>
      </w:r>
      <w:r w:rsidRPr="00470480">
        <w:rPr>
          <w:rFonts w:ascii="Arial" w:hAnsi="Arial" w:cs="Arial"/>
          <w:color w:val="000000"/>
          <w:sz w:val="20"/>
          <w:szCs w:val="20"/>
        </w:rPr>
        <w:br/>
        <w:t>DCM (</w:t>
      </w:r>
      <w:proofErr w:type="spellStart"/>
      <w:r w:rsidRPr="00470480">
        <w:rPr>
          <w:rFonts w:ascii="Arial" w:hAnsi="Arial" w:cs="Arial"/>
          <w:color w:val="000000"/>
          <w:sz w:val="20"/>
          <w:szCs w:val="20"/>
        </w:rPr>
        <w:t>Plg</w:t>
      </w:r>
      <w:proofErr w:type="spellEnd"/>
      <w:r w:rsidRPr="00470480">
        <w:rPr>
          <w:rFonts w:ascii="Arial" w:hAnsi="Arial" w:cs="Arial"/>
          <w:color w:val="000000"/>
          <w:sz w:val="20"/>
          <w:szCs w:val="20"/>
        </w:rPr>
        <w:t xml:space="preserve">.) </w:t>
      </w:r>
      <w:proofErr w:type="spellStart"/>
      <w:proofErr w:type="gramStart"/>
      <w:r w:rsidRPr="00470480">
        <w:rPr>
          <w:rFonts w:ascii="Arial" w:hAnsi="Arial" w:cs="Arial"/>
          <w:color w:val="000000"/>
          <w:sz w:val="20"/>
          <w:szCs w:val="20"/>
        </w:rPr>
        <w:t>No.S</w:t>
      </w:r>
      <w:proofErr w:type="spellEnd"/>
      <w:proofErr w:type="gramEnd"/>
      <w:r w:rsidRPr="00470480">
        <w:rPr>
          <w:rFonts w:ascii="Arial" w:hAnsi="Arial" w:cs="Arial"/>
          <w:color w:val="000000"/>
          <w:sz w:val="20"/>
          <w:szCs w:val="20"/>
        </w:rPr>
        <w:t xml:space="preserve"> 1117/10.25.007/2021-22</w:t>
      </w:r>
    </w:p>
    <w:p w:rsidR="00C3658D" w:rsidRPr="00470480" w:rsidRDefault="00C3658D" w:rsidP="00C3658D">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The Chairman / Managing Director/</w:t>
      </w:r>
      <w:r w:rsidRPr="00470480">
        <w:rPr>
          <w:rFonts w:ascii="Arial" w:hAnsi="Arial" w:cs="Arial"/>
          <w:color w:val="000000"/>
          <w:sz w:val="20"/>
          <w:szCs w:val="20"/>
        </w:rPr>
        <w:br/>
        <w:t>Chief Executive Officer</w:t>
      </w:r>
      <w:r w:rsidRPr="00470480">
        <w:rPr>
          <w:rFonts w:ascii="Arial" w:hAnsi="Arial" w:cs="Arial"/>
          <w:color w:val="000000"/>
          <w:sz w:val="20"/>
          <w:szCs w:val="20"/>
        </w:rPr>
        <w:br/>
        <w:t>All Banks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C3658D" w:rsidRPr="00470480" w:rsidRDefault="00C3658D" w:rsidP="00C3658D">
      <w:pPr>
        <w:pStyle w:val="head"/>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8" w:tgtFrame="_blank" w:history="1">
        <w:r w:rsidRPr="00470480">
          <w:rPr>
            <w:rStyle w:val="Hyperlink"/>
            <w:rFonts w:ascii="Arial" w:hAnsi="Arial" w:cs="Arial"/>
            <w:sz w:val="20"/>
            <w:szCs w:val="20"/>
          </w:rPr>
          <w:t>circulars RBI/2017-18/162/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 3641/10.25.007/2017-18 dated April 12, 2018</w:t>
        </w:r>
      </w:hyperlink>
      <w:r w:rsidRPr="00470480">
        <w:rPr>
          <w:rFonts w:ascii="Arial" w:hAnsi="Arial" w:cs="Arial"/>
          <w:color w:val="000000"/>
          <w:sz w:val="20"/>
          <w:szCs w:val="20"/>
        </w:rPr>
        <w:t> and </w:t>
      </w:r>
      <w:hyperlink r:id="rId29" w:tgtFrame="_blank" w:history="1">
        <w:r w:rsidRPr="00470480">
          <w:rPr>
            <w:rStyle w:val="Hyperlink"/>
            <w:rFonts w:ascii="Arial" w:hAnsi="Arial" w:cs="Arial"/>
            <w:sz w:val="20"/>
            <w:szCs w:val="20"/>
          </w:rPr>
          <w:t>RBI/2021-22/71/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No.S39/10.25.007/2021-22 dated July 12, 2021</w:t>
        </w:r>
      </w:hyperlink>
      <w:r w:rsidRPr="00470480">
        <w:rPr>
          <w:rFonts w:ascii="Arial" w:hAnsi="Arial" w:cs="Arial"/>
          <w:color w:val="000000"/>
          <w:sz w:val="20"/>
          <w:szCs w:val="20"/>
        </w:rP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 which was later extended to March 31, 2022.</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2. In this regard, representations have been received from various banks and Indian Banks’ Association expressing difficulties in meeting the timeline. Accordingly, it has been decided to extend the timeline for implementation of cassette swap in all ATMs till March 31, 2023.</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3. Banks shall set a Board approved internal timeline to adhere to the extended deadline and submit quarterly status reports. Boards of the banks shall monitor the progress to ensure compliance.</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4. All other instructions contained in the circulars </w:t>
      </w:r>
      <w:r w:rsidRPr="00470480">
        <w:rPr>
          <w:rStyle w:val="Emphasis"/>
          <w:rFonts w:ascii="Arial" w:hAnsi="Arial" w:cs="Arial"/>
          <w:color w:val="000000"/>
          <w:sz w:val="20"/>
          <w:szCs w:val="20"/>
        </w:rPr>
        <w:t>ibid</w:t>
      </w:r>
      <w:r w:rsidRPr="00470480">
        <w:rPr>
          <w:rFonts w:ascii="Arial" w:hAnsi="Arial" w:cs="Arial"/>
          <w:color w:val="000000"/>
          <w:sz w:val="20"/>
          <w:szCs w:val="20"/>
        </w:rPr>
        <w:t> remain unchanged.</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Suman</w:t>
      </w:r>
      <w:proofErr w:type="spellEnd"/>
      <w:r w:rsidRPr="00470480">
        <w:rPr>
          <w:rFonts w:ascii="Arial" w:hAnsi="Arial" w:cs="Arial"/>
          <w:color w:val="000000"/>
          <w:sz w:val="20"/>
          <w:szCs w:val="20"/>
        </w:rPr>
        <w:t xml:space="preserve"> Ray)</w:t>
      </w:r>
      <w:r w:rsidRPr="00470480">
        <w:rPr>
          <w:rFonts w:ascii="Arial" w:hAnsi="Arial" w:cs="Arial"/>
          <w:color w:val="000000"/>
          <w:sz w:val="20"/>
          <w:szCs w:val="20"/>
        </w:rPr>
        <w:br/>
        <w:t>Chief General Manager-in-Charge</w:t>
      </w:r>
    </w:p>
    <w:p w:rsidR="00C3658D"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Reference Link: </w:t>
      </w:r>
      <w:hyperlink r:id="rId30" w:history="1">
        <w:r w:rsidRPr="00470480">
          <w:rPr>
            <w:rStyle w:val="Hyperlink"/>
            <w:rFonts w:ascii="Arial" w:hAnsi="Arial" w:cs="Arial"/>
            <w:sz w:val="20"/>
            <w:szCs w:val="20"/>
          </w:rPr>
          <w:t>https://www.rbi.org.in/Scripts/NotificationUser.aspx?Id=12263&amp;Mode=0</w:t>
        </w:r>
      </w:hyperlink>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Default="00C3658D">
      <w:pPr>
        <w:rPr>
          <w:b/>
        </w:rPr>
      </w:pPr>
      <w:r>
        <w:rPr>
          <w:b/>
        </w:rPr>
        <w:br w:type="page"/>
      </w:r>
    </w:p>
    <w:p w:rsidR="00C3658D" w:rsidRPr="00470480" w:rsidRDefault="00C3658D" w:rsidP="00C3658D">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Framework for Geo-tagging of Payment System Touch Points</w:t>
      </w:r>
    </w:p>
    <w:p w:rsidR="00C3658D" w:rsidRPr="00470480" w:rsidRDefault="00C3658D" w:rsidP="00C3658D">
      <w:pPr>
        <w:spacing w:after="0"/>
        <w:jc w:val="both"/>
        <w:rPr>
          <w:rFonts w:ascii="Arial" w:hAnsi="Arial" w:cs="Arial"/>
          <w:b/>
          <w:bCs/>
          <w:color w:val="000000"/>
          <w:sz w:val="20"/>
          <w:szCs w:val="20"/>
        </w:rPr>
      </w:pP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RBI/2021-22/187</w:t>
      </w:r>
      <w:r w:rsidRPr="00470480">
        <w:rPr>
          <w:rFonts w:ascii="Arial" w:hAnsi="Arial" w:cs="Arial"/>
          <w:color w:val="000000"/>
          <w:sz w:val="20"/>
          <w:szCs w:val="20"/>
        </w:rPr>
        <w:br/>
        <w:t>CO.DPSS.OVRST.No.S1738/06-08-018/2021-2022</w:t>
      </w:r>
    </w:p>
    <w:p w:rsidR="00C3658D" w:rsidRPr="00470480" w:rsidRDefault="00C3658D" w:rsidP="00C3658D">
      <w:pPr>
        <w:pStyle w:val="NormalWeb"/>
        <w:jc w:val="right"/>
        <w:rPr>
          <w:rFonts w:ascii="Arial" w:hAnsi="Arial" w:cs="Arial"/>
          <w:color w:val="000000"/>
          <w:sz w:val="20"/>
          <w:szCs w:val="20"/>
        </w:rPr>
      </w:pPr>
      <w:r w:rsidRPr="00470480">
        <w:rPr>
          <w:rFonts w:ascii="Arial" w:hAnsi="Arial" w:cs="Arial"/>
          <w:color w:val="000000"/>
          <w:sz w:val="20"/>
          <w:szCs w:val="20"/>
        </w:rPr>
        <w:t>March 25, 2022</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Banks and Non-bank Payment System Operators (PSOs)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C3658D" w:rsidRPr="00470480" w:rsidRDefault="00C3658D" w:rsidP="00C3658D">
      <w:pPr>
        <w:pStyle w:val="head"/>
        <w:jc w:val="both"/>
        <w:rPr>
          <w:rFonts w:ascii="Arial" w:hAnsi="Arial" w:cs="Arial"/>
          <w:b/>
          <w:bCs/>
          <w:color w:val="000000"/>
          <w:sz w:val="20"/>
          <w:szCs w:val="20"/>
        </w:rPr>
      </w:pPr>
      <w:r w:rsidRPr="00470480">
        <w:rPr>
          <w:rFonts w:ascii="Arial" w:hAnsi="Arial" w:cs="Arial"/>
          <w:b/>
          <w:bCs/>
          <w:color w:val="000000"/>
          <w:sz w:val="20"/>
          <w:szCs w:val="20"/>
        </w:rPr>
        <w:t>Framework for Geo-tagging of Payment System Touch Points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To facilitate nuanced spread of acceptance infrastructure and inclusive access to digital payments, the </w:t>
      </w:r>
      <w:hyperlink r:id="rId31" w:anchor="P4" w:tgtFrame="_blank" w:history="1">
        <w:r w:rsidRPr="00470480">
          <w:rPr>
            <w:rStyle w:val="Hyperlink"/>
            <w:rFonts w:ascii="Arial" w:hAnsi="Arial" w:cs="Arial"/>
            <w:sz w:val="20"/>
            <w:szCs w:val="20"/>
          </w:rPr>
          <w:t>Monetary Policy Statement 2020-21 on October 08, 2021</w:t>
        </w:r>
      </w:hyperlink>
      <w:r w:rsidRPr="00470480">
        <w:rPr>
          <w:rFonts w:ascii="Arial" w:hAnsi="Arial" w:cs="Arial"/>
          <w:color w:val="000000"/>
          <w:sz w:val="20"/>
          <w:szCs w:val="20"/>
        </w:rPr>
        <w:t> had announced that a framework for geo-tagging of physical payment acceptance infrastructure would be prescribed by Reserve Bank. Accordingly, a framework for capturing geo-tagging information of payment system touch points deployed by banks / non-bank PSOs is laid out in the </w:t>
      </w:r>
      <w:hyperlink r:id="rId32" w:anchor="ANN" w:history="1">
        <w:r w:rsidRPr="00470480">
          <w:rPr>
            <w:rStyle w:val="Hyperlink"/>
            <w:rFonts w:ascii="Arial" w:hAnsi="Arial" w:cs="Arial"/>
            <w:sz w:val="20"/>
            <w:szCs w:val="20"/>
          </w:rPr>
          <w:t>Annex</w:t>
        </w:r>
      </w:hyperlink>
      <w:r w:rsidRPr="00470480">
        <w:rPr>
          <w:rFonts w:ascii="Arial" w:hAnsi="Arial" w:cs="Arial"/>
          <w:color w:val="000000"/>
          <w:sz w:val="20"/>
          <w:szCs w:val="20"/>
        </w:rPr>
        <w:t>. The date from which the information shall be reported to Reserve Bank shall, however, be advised in due course.</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2. This framework is issued under Section 10 (2) read with Section 18 of Payment and Settlement Systems Act, 2007 (Act 51 of 2007).</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r w:rsidRPr="00470480">
        <w:rPr>
          <w:rFonts w:ascii="Arial" w:hAnsi="Arial" w:cs="Arial"/>
          <w:sz w:val="20"/>
          <w:szCs w:val="20"/>
        </w:rPr>
        <w:t xml:space="preserve">Reference Link: </w:t>
      </w:r>
      <w:hyperlink r:id="rId33" w:history="1">
        <w:r w:rsidRPr="00470480">
          <w:rPr>
            <w:rStyle w:val="Hyperlink"/>
            <w:rFonts w:ascii="Arial" w:hAnsi="Arial" w:cs="Arial"/>
            <w:sz w:val="20"/>
            <w:szCs w:val="20"/>
          </w:rPr>
          <w:t>https://www.rbi.org.in/Scripts/NotificationUser.aspx?Id=12260&amp;Mode=0</w:t>
        </w:r>
      </w:hyperlink>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Pr="00470480" w:rsidRDefault="00C3658D" w:rsidP="00C3658D">
      <w:pPr>
        <w:spacing w:after="0"/>
        <w:jc w:val="both"/>
        <w:rPr>
          <w:rFonts w:ascii="Arial" w:hAnsi="Arial" w:cs="Arial"/>
          <w:sz w:val="20"/>
          <w:szCs w:val="20"/>
        </w:rPr>
      </w:pPr>
    </w:p>
    <w:p w:rsidR="00C3658D" w:rsidRDefault="00C3658D">
      <w:pPr>
        <w:rPr>
          <w:b/>
        </w:rPr>
      </w:pPr>
      <w:r>
        <w:rPr>
          <w:b/>
        </w:rPr>
        <w:br w:type="page"/>
      </w:r>
    </w:p>
    <w:p w:rsidR="00C3658D" w:rsidRPr="00470480" w:rsidRDefault="00C3658D" w:rsidP="00C3658D">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Framework for Facilitating Small Value Digital Payments in Offline Mode</w:t>
      </w:r>
    </w:p>
    <w:p w:rsidR="00C3658D" w:rsidRPr="00470480" w:rsidRDefault="00C3658D" w:rsidP="00C3658D">
      <w:pPr>
        <w:pStyle w:val="NormalWeb"/>
        <w:rPr>
          <w:rFonts w:ascii="Arial" w:hAnsi="Arial" w:cs="Arial"/>
          <w:b/>
          <w:bCs/>
          <w:color w:val="000000"/>
          <w:sz w:val="20"/>
          <w:szCs w:val="20"/>
        </w:rPr>
      </w:pP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RBI/2021-22/146</w:t>
      </w:r>
      <w:r w:rsidRPr="00470480">
        <w:rPr>
          <w:rFonts w:ascii="Arial" w:hAnsi="Arial" w:cs="Arial"/>
          <w:color w:val="000000"/>
          <w:sz w:val="20"/>
          <w:szCs w:val="20"/>
        </w:rPr>
        <w:br/>
        <w:t>CO.DPSS.POLC.No.S1264/02-14-003/2021-2022</w:t>
      </w:r>
    </w:p>
    <w:p w:rsidR="00C3658D" w:rsidRPr="00470480" w:rsidRDefault="00C3658D" w:rsidP="00C3658D">
      <w:pPr>
        <w:pStyle w:val="NormalWeb"/>
        <w:jc w:val="right"/>
        <w:rPr>
          <w:rFonts w:ascii="Arial" w:hAnsi="Arial" w:cs="Arial"/>
          <w:color w:val="000000"/>
          <w:sz w:val="20"/>
          <w:szCs w:val="20"/>
        </w:rPr>
      </w:pPr>
      <w:r w:rsidRPr="00470480">
        <w:rPr>
          <w:rFonts w:ascii="Arial" w:hAnsi="Arial" w:cs="Arial"/>
          <w:color w:val="000000"/>
          <w:sz w:val="20"/>
          <w:szCs w:val="20"/>
        </w:rPr>
        <w:t>January 03, 2022</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Authorised Payment System Operators and Participants (Banks and Non-banks)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C3658D" w:rsidRPr="00470480" w:rsidRDefault="00C3658D" w:rsidP="00C3658D">
      <w:pPr>
        <w:pStyle w:val="head"/>
        <w:jc w:val="both"/>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Reserve Bank had, vide </w:t>
      </w:r>
      <w:hyperlink r:id="rId34" w:tgtFrame="_blank" w:history="1">
        <w:r w:rsidRPr="00470480">
          <w:rPr>
            <w:rStyle w:val="Hyperlink"/>
            <w:rFonts w:ascii="Arial" w:hAnsi="Arial" w:cs="Arial"/>
            <w:sz w:val="20"/>
            <w:szCs w:val="20"/>
          </w:rPr>
          <w:t>circular dated August 06, 2020</w:t>
        </w:r>
      </w:hyperlink>
      <w:r w:rsidRPr="00470480">
        <w:rPr>
          <w:rFonts w:ascii="Arial" w:hAnsi="Arial" w:cs="Arial"/>
          <w:color w:val="000000"/>
          <w:sz w:val="20"/>
          <w:szCs w:val="20"/>
        </w:rPr>
        <w:t>, permitted a pilot scheme to encourage technological innovations that enable small value digital transactions in offline mode. It was stated therein that the decision on formalising such a system would be based on the experience gained.</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2. Pilot testing was undertaken by some entities during the period from September 2020 to July 2021. With encouraging feedback from the pilots, it was announced in the </w:t>
      </w:r>
      <w:hyperlink r:id="rId35" w:tgtFrame="_blank" w:history="1">
        <w:r w:rsidRPr="00470480">
          <w:rPr>
            <w:rStyle w:val="Hyperlink"/>
            <w:rFonts w:ascii="Arial" w:hAnsi="Arial" w:cs="Arial"/>
            <w:sz w:val="20"/>
            <w:szCs w:val="20"/>
          </w:rPr>
          <w:t>Statement on Developmental and Regulatory policies dated October 08, 2021</w:t>
        </w:r>
      </w:hyperlink>
      <w:r w:rsidRPr="00470480">
        <w:rPr>
          <w:rFonts w:ascii="Arial" w:hAnsi="Arial" w:cs="Arial"/>
          <w:color w:val="000000"/>
          <w:sz w:val="20"/>
          <w:szCs w:val="20"/>
        </w:rPr>
        <w:t>, that a framework for carrying out small value digital payments in offline mode across the country would be introduced.</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3. Accordingly, the framework to enable small value digital payments in offline mode using cards, wallets, mobile devices, etc., is detailed in </w:t>
      </w:r>
      <w:hyperlink r:id="rId36" w:anchor="AN1" w:history="1">
        <w:r w:rsidRPr="00470480">
          <w:rPr>
            <w:rStyle w:val="Hyperlink"/>
            <w:rFonts w:ascii="Arial" w:hAnsi="Arial" w:cs="Arial"/>
            <w:sz w:val="20"/>
            <w:szCs w:val="20"/>
          </w:rPr>
          <w:t>Annex</w:t>
        </w:r>
      </w:hyperlink>
      <w:r w:rsidRPr="00470480">
        <w:rPr>
          <w:rFonts w:ascii="Arial" w:hAnsi="Arial" w:cs="Arial"/>
          <w:color w:val="000000"/>
          <w:sz w:val="20"/>
          <w:szCs w:val="20"/>
        </w:rPr>
        <w:t>. Authorised Payment System Operators (PSOs) and Payment System Participants (PSPs) – Acquirers and Issuers (banks and non-banks) - shall ensure compliance with all the applicable instructions.</w:t>
      </w:r>
    </w:p>
    <w:p w:rsidR="00C3658D" w:rsidRPr="00470480" w:rsidRDefault="00C3658D" w:rsidP="00C3658D">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 (2) read with Section 18 of Payment and Settlement Systems Act, 2007 (Act 51 of 2007) and shall come into effect immediately.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Yours faithfully,</w:t>
      </w:r>
    </w:p>
    <w:p w:rsidR="00C3658D" w:rsidRPr="00470480" w:rsidRDefault="00C3658D" w:rsidP="00C3658D">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C3658D" w:rsidRDefault="00C3658D" w:rsidP="00C3658D">
      <w:pPr>
        <w:pStyle w:val="NormalWeb"/>
        <w:rPr>
          <w:rFonts w:ascii="Arial" w:hAnsi="Arial" w:cs="Arial"/>
          <w:color w:val="000000"/>
          <w:sz w:val="20"/>
          <w:szCs w:val="20"/>
        </w:rPr>
      </w:pPr>
    </w:p>
    <w:p w:rsidR="00C3658D" w:rsidRDefault="00C3658D" w:rsidP="00C3658D">
      <w:pPr>
        <w:pStyle w:val="NormalWeb"/>
        <w:rPr>
          <w:rFonts w:ascii="Arial" w:hAnsi="Arial" w:cs="Arial"/>
          <w:color w:val="000000"/>
          <w:sz w:val="20"/>
          <w:szCs w:val="20"/>
        </w:rPr>
      </w:pPr>
      <w:r>
        <w:rPr>
          <w:rFonts w:ascii="Arial" w:hAnsi="Arial" w:cs="Arial"/>
          <w:color w:val="000000"/>
          <w:sz w:val="20"/>
          <w:szCs w:val="20"/>
        </w:rPr>
        <w:t xml:space="preserve">Reference Link: </w:t>
      </w:r>
      <w:hyperlink r:id="rId37" w:history="1">
        <w:r w:rsidRPr="004D48F4">
          <w:rPr>
            <w:rStyle w:val="Hyperlink"/>
            <w:rFonts w:ascii="Arial" w:hAnsi="Arial" w:cs="Arial"/>
            <w:sz w:val="20"/>
            <w:szCs w:val="20"/>
          </w:rPr>
          <w:t>https://www.rbi.org.in/Scripts/NotificationUser.aspx?Id=12215&amp;Mode=0</w:t>
        </w:r>
      </w:hyperlink>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pStyle w:val="NormalWeb"/>
        <w:rPr>
          <w:rFonts w:ascii="Arial" w:hAnsi="Arial" w:cs="Arial"/>
          <w:color w:val="000000"/>
          <w:sz w:val="20"/>
          <w:szCs w:val="20"/>
        </w:rPr>
      </w:pPr>
    </w:p>
    <w:p w:rsidR="00C3658D" w:rsidRPr="00470480" w:rsidRDefault="00C3658D" w:rsidP="00C3658D">
      <w:pPr>
        <w:spacing w:after="0"/>
        <w:jc w:val="both"/>
        <w:rPr>
          <w:rFonts w:ascii="Arial" w:hAnsi="Arial" w:cs="Arial"/>
          <w:sz w:val="20"/>
          <w:szCs w:val="20"/>
        </w:rPr>
      </w:pPr>
    </w:p>
    <w:p w:rsidR="00C3658D" w:rsidRPr="00C3658D" w:rsidRDefault="00C3658D" w:rsidP="00C3658D">
      <w:pPr>
        <w:jc w:val="both"/>
        <w:rPr>
          <w:b/>
        </w:rPr>
      </w:pPr>
    </w:p>
    <w:sectPr w:rsidR="00C3658D" w:rsidRPr="00C365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D2734A"/>
    <w:multiLevelType w:val="hybridMultilevel"/>
    <w:tmpl w:val="4AEA46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8D"/>
    <w:rsid w:val="004654F0"/>
    <w:rsid w:val="005539B2"/>
    <w:rsid w:val="00C36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CB24"/>
  <w15:chartTrackingRefBased/>
  <w15:docId w15:val="{0A47301C-8A07-46B7-AB9C-E6DE20FE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58D"/>
    <w:rPr>
      <w:color w:val="0000FF"/>
      <w:u w:val="single"/>
    </w:rPr>
  </w:style>
  <w:style w:type="paragraph" w:styleId="NormalWeb">
    <w:name w:val="Normal (Web)"/>
    <w:basedOn w:val="Normal"/>
    <w:uiPriority w:val="99"/>
    <w:unhideWhenUsed/>
    <w:rsid w:val="00C3658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C365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3658D"/>
    <w:rPr>
      <w:i/>
      <w:iCs/>
    </w:rPr>
  </w:style>
  <w:style w:type="table" w:styleId="TableGrid">
    <w:name w:val="Table Grid"/>
    <w:basedOn w:val="TableNormal"/>
    <w:uiPriority w:val="39"/>
    <w:rsid w:val="00C3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211&amp;Mode=0" TargetMode="External"/><Relationship Id="rId13" Type="http://schemas.openxmlformats.org/officeDocument/2006/relationships/hyperlink" Target="https://www.rbi.org.in/Scripts/NotificationUser.aspx?Id=12051&amp;Mode=0" TargetMode="External"/><Relationship Id="rId18" Type="http://schemas.openxmlformats.org/officeDocument/2006/relationships/hyperlink" Target="https://www.rbi.org.in/Scripts/NotificationUser.aspx?Id=11693" TargetMode="External"/><Relationship Id="rId26" Type="http://schemas.openxmlformats.org/officeDocument/2006/relationships/hyperlink" Target="https://www.rbi.org.in/Scripts/NotificationUser.aspx?Id=12285&amp;Mode=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bi.org.in/Scripts/NotificationUser.aspx?Id=12301&amp;Mode=0" TargetMode="External"/><Relationship Id="rId34" Type="http://schemas.openxmlformats.org/officeDocument/2006/relationships/hyperlink" Target="https://www.rbi.org.in/Scripts/NotificationUser.aspx?Id=11947&amp;Mode=0" TargetMode="External"/><Relationship Id="rId7" Type="http://schemas.openxmlformats.org/officeDocument/2006/relationships/hyperlink" Target="https://www.rbi.org.in/Scripts/NotificationUser.aspx?Id=12159&amp;Mode=0" TargetMode="External"/><Relationship Id="rId12" Type="http://schemas.openxmlformats.org/officeDocument/2006/relationships/hyperlink" Target="https://www.rbi.org.in/Scripts/NotificationUser.aspx?Id=12002&amp;Mode=0" TargetMode="External"/><Relationship Id="rId17" Type="http://schemas.openxmlformats.org/officeDocument/2006/relationships/hyperlink" Target="https://www.rbi.org.in/scripts/NotificationUser.aspx?Id=12111" TargetMode="External"/><Relationship Id="rId25" Type="http://schemas.openxmlformats.org/officeDocument/2006/relationships/hyperlink" Target="https://www.rbi.org.in/Scripts/NotificationUser.aspx?Id=12301&amp;Mode=0" TargetMode="External"/><Relationship Id="rId33" Type="http://schemas.openxmlformats.org/officeDocument/2006/relationships/hyperlink" Target="https://www.rbi.org.in/Scripts/NotificationUser.aspx?Id=12260&amp;Mode=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i.org.in/Scripts/BS_PressReleaseDisplay.aspx?prid=53536" TargetMode="External"/><Relationship Id="rId20" Type="http://schemas.openxmlformats.org/officeDocument/2006/relationships/hyperlink" Target="https://www.rbi.org.in/Scripts/NotificationUser.aspx?Id=11154&amp;Mode=0" TargetMode="External"/><Relationship Id="rId29" Type="http://schemas.openxmlformats.org/officeDocument/2006/relationships/hyperlink" Target="https://www.rbi.org.in/Scripts/NotificationUser.aspx?Id=12130&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050&amp;Mode=0" TargetMode="External"/><Relationship Id="rId11" Type="http://schemas.openxmlformats.org/officeDocument/2006/relationships/hyperlink" Target="https://www.rbi.org.in/Scripts/NotificationUser.aspx?Id=11784&amp;Mode=0" TargetMode="External"/><Relationship Id="rId24" Type="http://schemas.openxmlformats.org/officeDocument/2006/relationships/hyperlink" Target="https://www.rbi.org.in/Scripts/NotificationUser.aspx?Id=12301&amp;Mode=0" TargetMode="External"/><Relationship Id="rId32" Type="http://schemas.openxmlformats.org/officeDocument/2006/relationships/hyperlink" Target="https://www.rbi.org.in/Scripts/NotificationUser.aspx?Id=12260&amp;Mode=0" TargetMode="External"/><Relationship Id="rId37" Type="http://schemas.openxmlformats.org/officeDocument/2006/relationships/hyperlink" Target="https://www.rbi.org.in/Scripts/NotificationUser.aspx?Id=12215&amp;Mode=0" TargetMode="External"/><Relationship Id="rId5" Type="http://schemas.openxmlformats.org/officeDocument/2006/relationships/hyperlink" Target="https://www.rbi.org.in/Scripts/NotificationUser.aspx?Id=11822&amp;Mode=0" TargetMode="External"/><Relationship Id="rId15" Type="http://schemas.openxmlformats.org/officeDocument/2006/relationships/hyperlink" Target="https://www.rbi.org.in/Scripts/NotificationUser.aspx?Id=12325&amp;Mode=0" TargetMode="External"/><Relationship Id="rId23" Type="http://schemas.openxmlformats.org/officeDocument/2006/relationships/hyperlink" Target="https://www.rbi.org.in/Scripts/NotificationUser.aspx?Id=12301&amp;Mode=0" TargetMode="External"/><Relationship Id="rId28" Type="http://schemas.openxmlformats.org/officeDocument/2006/relationships/hyperlink" Target="https://www.rbi.org.in/Scripts/NotificationUser.aspx?Id=11256&amp;Mode=0" TargetMode="External"/><Relationship Id="rId36" Type="http://schemas.openxmlformats.org/officeDocument/2006/relationships/hyperlink" Target="https://www.rbi.org.in/Scripts/NotificationUser.aspx?Id=12215&amp;Mode=0" TargetMode="External"/><Relationship Id="rId10" Type="http://schemas.openxmlformats.org/officeDocument/2006/relationships/hyperlink" Target="https://www.rbi.org.in/Scripts/NotificationUser.aspx?Id=11668&amp;Mode=0" TargetMode="External"/><Relationship Id="rId19" Type="http://schemas.openxmlformats.org/officeDocument/2006/relationships/hyperlink" Target="https://www.rbi.org.in/Scripts/NotificationUser.aspx?Id=12321&amp;Mode=0" TargetMode="External"/><Relationship Id="rId31" Type="http://schemas.openxmlformats.org/officeDocument/2006/relationships/hyperlink" Target="https://rbi.org.in/Scripts/BS_PressReleaseDisplay.aspx?prid=52368"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45&amp;Mode=0" TargetMode="External"/><Relationship Id="rId14" Type="http://schemas.openxmlformats.org/officeDocument/2006/relationships/hyperlink" Target="https://www.rbi.org.in/Scripts/NotificationUser.aspx?Id=12341&amp;Mode=0" TargetMode="External"/><Relationship Id="rId22" Type="http://schemas.openxmlformats.org/officeDocument/2006/relationships/hyperlink" Target="https://www.rbi.org.in/Scripts/NotificationUser.aspx?Id=12301&amp;Mode=0" TargetMode="External"/><Relationship Id="rId27" Type="http://schemas.openxmlformats.org/officeDocument/2006/relationships/hyperlink" Target="https://www.rbi.org.in/Scripts/NotificationUser.aspx?Id=12285&amp;Mode=0" TargetMode="External"/><Relationship Id="rId30" Type="http://schemas.openxmlformats.org/officeDocument/2006/relationships/hyperlink" Target="https://www.rbi.org.in/Scripts/NotificationUser.aspx?Id=12263&amp;Mode=0" TargetMode="External"/><Relationship Id="rId35" Type="http://schemas.openxmlformats.org/officeDocument/2006/relationships/hyperlink" Target="https://www.rbi.org.in/Scripts/BS_PressReleaseDisplay.aspx?prid=52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2022-08-04T10:29:00Z</dcterms:created>
  <dcterms:modified xsi:type="dcterms:W3CDTF">2022-08-04T10:47:00Z</dcterms:modified>
</cp:coreProperties>
</file>